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F51763" w:rsidRDefault="00BB464D" w:rsidP="00AE2265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AE2265" w:rsidRDefault="00A63563" w:rsidP="000E2DD1">
      <w:pPr>
        <w:spacing w:after="0" w:line="240" w:lineRule="auto"/>
        <w:jc w:val="center"/>
        <w:rPr>
          <w:rFonts w:ascii="Arial" w:hAnsi="Arial" w:cs="Arial"/>
          <w:b/>
        </w:rPr>
      </w:pPr>
      <w:r w:rsidRPr="00AE2265">
        <w:rPr>
          <w:rFonts w:ascii="Arial" w:hAnsi="Arial" w:cs="Arial"/>
          <w:b/>
        </w:rPr>
        <w:t xml:space="preserve">PROCESO </w:t>
      </w:r>
      <w:r w:rsidR="002E0F5A" w:rsidRPr="00AE2265">
        <w:rPr>
          <w:rFonts w:ascii="Arial" w:hAnsi="Arial" w:cs="Arial"/>
          <w:b/>
        </w:rPr>
        <w:t>DE GESTIÓN DE</w:t>
      </w:r>
      <w:r w:rsidR="00B53D0D" w:rsidRPr="00AE2265">
        <w:rPr>
          <w:rFonts w:ascii="Arial" w:hAnsi="Arial" w:cs="Arial"/>
          <w:b/>
        </w:rPr>
        <w:t xml:space="preserve"> FORMACIÓN PROFESIONAL INTEGRAL</w:t>
      </w:r>
    </w:p>
    <w:p w14:paraId="5E3BCBDD" w14:textId="74D77B8F" w:rsidR="00A63563" w:rsidRDefault="00A63563" w:rsidP="000E2DD1">
      <w:pPr>
        <w:spacing w:after="0" w:line="240" w:lineRule="auto"/>
        <w:jc w:val="center"/>
        <w:rPr>
          <w:rFonts w:ascii="Arial" w:hAnsi="Arial" w:cs="Arial"/>
          <w:b/>
        </w:rPr>
      </w:pPr>
      <w:r w:rsidRPr="00AE2265">
        <w:rPr>
          <w:rFonts w:ascii="Arial" w:hAnsi="Arial" w:cs="Arial"/>
          <w:b/>
        </w:rPr>
        <w:t xml:space="preserve">FORMATO </w:t>
      </w:r>
      <w:r w:rsidR="00B53D0D" w:rsidRPr="00AE2265">
        <w:rPr>
          <w:rFonts w:ascii="Arial" w:hAnsi="Arial" w:cs="Arial"/>
          <w:b/>
        </w:rPr>
        <w:t>GUÍA DE APRENDIZAJE</w:t>
      </w:r>
    </w:p>
    <w:p w14:paraId="58058DB7" w14:textId="77777777" w:rsidR="000E2DD1" w:rsidRPr="00AE2265" w:rsidRDefault="000E2DD1" w:rsidP="000E2DD1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14:paraId="26976494" w14:textId="77777777" w:rsidR="00BB464D" w:rsidRPr="00AE2265" w:rsidRDefault="00BB464D" w:rsidP="00AE2265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65322F1D" w14:textId="14AA6DF9" w:rsidR="00B53D0D" w:rsidRPr="00AE2265" w:rsidRDefault="003605B2" w:rsidP="00AE2265">
      <w:pPr>
        <w:spacing w:line="240" w:lineRule="auto"/>
        <w:jc w:val="both"/>
        <w:rPr>
          <w:rFonts w:ascii="Arial" w:hAnsi="Arial" w:cs="Arial"/>
          <w:b/>
        </w:rPr>
      </w:pPr>
      <w:r w:rsidRPr="00AE2265">
        <w:rPr>
          <w:rFonts w:ascii="Arial" w:hAnsi="Arial" w:cs="Arial"/>
          <w:b/>
        </w:rPr>
        <w:t xml:space="preserve">1. </w:t>
      </w:r>
      <w:r w:rsidR="00B53D0D" w:rsidRPr="00AE2265">
        <w:rPr>
          <w:rFonts w:ascii="Arial" w:hAnsi="Arial" w:cs="Arial"/>
          <w:b/>
        </w:rPr>
        <w:t>IDENTIFICACIÓN DE LA GUIA DE APRENDIZAJE</w:t>
      </w:r>
    </w:p>
    <w:p w14:paraId="1A8AC41A" w14:textId="3325A6B0" w:rsidR="00282CE4" w:rsidRPr="00AE2265" w:rsidRDefault="00282CE4" w:rsidP="00AE2265">
      <w:pPr>
        <w:spacing w:line="240" w:lineRule="auto"/>
        <w:jc w:val="both"/>
        <w:rPr>
          <w:rFonts w:ascii="Arial" w:hAnsi="Arial" w:cs="Arial"/>
        </w:rPr>
      </w:pPr>
      <w:r w:rsidRPr="00AE2265">
        <w:rPr>
          <w:rFonts w:ascii="Arial" w:hAnsi="Arial" w:cs="Arial"/>
          <w:b/>
          <w:bCs/>
        </w:rPr>
        <w:t>Denominación del Programa de Formación</w:t>
      </w:r>
      <w:r w:rsidRPr="00AE2265">
        <w:rPr>
          <w:rFonts w:ascii="Arial" w:hAnsi="Arial" w:cs="Arial"/>
        </w:rPr>
        <w:t>: Estructuración de Modelos de Negocios Verdes</w:t>
      </w:r>
    </w:p>
    <w:p w14:paraId="5891DE74" w14:textId="19372C62" w:rsidR="00282CE4" w:rsidRPr="00AE2265" w:rsidRDefault="00282CE4" w:rsidP="00AE2265">
      <w:pPr>
        <w:spacing w:line="240" w:lineRule="auto"/>
        <w:jc w:val="both"/>
        <w:rPr>
          <w:rFonts w:ascii="Arial" w:hAnsi="Arial" w:cs="Arial"/>
        </w:rPr>
      </w:pPr>
      <w:r w:rsidRPr="00AE2265">
        <w:rPr>
          <w:rFonts w:ascii="Arial" w:hAnsi="Arial" w:cs="Arial"/>
          <w:b/>
          <w:bCs/>
        </w:rPr>
        <w:t>Código del Programa de Formación</w:t>
      </w:r>
      <w:r w:rsidRPr="00AE2265">
        <w:rPr>
          <w:rFonts w:ascii="Arial" w:hAnsi="Arial" w:cs="Arial"/>
        </w:rPr>
        <w:t>: 22230007</w:t>
      </w:r>
    </w:p>
    <w:p w14:paraId="6A8F5322" w14:textId="77777777" w:rsidR="00774703" w:rsidRPr="00AE2265" w:rsidRDefault="00282CE4" w:rsidP="00AE2265">
      <w:pPr>
        <w:spacing w:line="240" w:lineRule="auto"/>
        <w:jc w:val="both"/>
        <w:rPr>
          <w:rFonts w:ascii="Arial" w:hAnsi="Arial" w:cs="Arial"/>
        </w:rPr>
      </w:pPr>
      <w:r w:rsidRPr="00AE2265">
        <w:rPr>
          <w:rFonts w:ascii="Arial" w:hAnsi="Arial" w:cs="Arial"/>
          <w:b/>
          <w:bCs/>
        </w:rPr>
        <w:t>Nombre del Proyecto Formativo (si aplica</w:t>
      </w:r>
      <w:r w:rsidRPr="00AE2265">
        <w:rPr>
          <w:rFonts w:ascii="Arial" w:hAnsi="Arial" w:cs="Arial"/>
        </w:rPr>
        <w:t xml:space="preserve">): </w:t>
      </w:r>
      <w:r w:rsidR="00774703" w:rsidRPr="00AE2265">
        <w:rPr>
          <w:rFonts w:ascii="Arial" w:hAnsi="Arial" w:cs="Arial"/>
        </w:rPr>
        <w:t>PRODUCCIÓN Y TRANSFORMACIÓN</w:t>
      </w:r>
    </w:p>
    <w:p w14:paraId="51097896" w14:textId="21F90DB3" w:rsidR="00282CE4" w:rsidRPr="00AE2265" w:rsidRDefault="00282CE4" w:rsidP="00AE2265">
      <w:pPr>
        <w:spacing w:line="240" w:lineRule="auto"/>
        <w:jc w:val="both"/>
        <w:rPr>
          <w:rFonts w:ascii="Arial" w:hAnsi="Arial" w:cs="Arial"/>
        </w:rPr>
      </w:pPr>
      <w:r w:rsidRPr="00AE2265">
        <w:rPr>
          <w:rFonts w:ascii="Arial" w:hAnsi="Arial" w:cs="Arial"/>
          <w:b/>
          <w:bCs/>
        </w:rPr>
        <w:t>Fase del Proyecto (si aplica):</w:t>
      </w:r>
      <w:r w:rsidRPr="00AE2265">
        <w:rPr>
          <w:rFonts w:ascii="Arial" w:hAnsi="Arial" w:cs="Arial"/>
        </w:rPr>
        <w:t xml:space="preserve"> Diseño y Planificación</w:t>
      </w:r>
    </w:p>
    <w:p w14:paraId="7363EBBB" w14:textId="1FE8EC87" w:rsidR="00282CE4" w:rsidRPr="00AE2265" w:rsidRDefault="00282CE4" w:rsidP="00AE2265">
      <w:pPr>
        <w:spacing w:line="240" w:lineRule="auto"/>
        <w:jc w:val="both"/>
        <w:rPr>
          <w:rFonts w:ascii="Arial" w:hAnsi="Arial" w:cs="Arial"/>
        </w:rPr>
      </w:pPr>
      <w:r w:rsidRPr="00AE2265">
        <w:rPr>
          <w:rFonts w:ascii="Arial" w:hAnsi="Arial" w:cs="Arial"/>
          <w:b/>
          <w:bCs/>
        </w:rPr>
        <w:t>Actividad de Proyecto Formativo (si aplica):</w:t>
      </w:r>
      <w:r w:rsidRPr="00AE2265">
        <w:rPr>
          <w:rFonts w:ascii="Arial" w:hAnsi="Arial" w:cs="Arial"/>
        </w:rPr>
        <w:t xml:space="preserve"> Diagnóstico y Propuesta de Modelo de Negocio Verde</w:t>
      </w:r>
    </w:p>
    <w:p w14:paraId="5B574B96" w14:textId="748ADF53" w:rsidR="00282CE4" w:rsidRPr="00AE2265" w:rsidRDefault="00282CE4" w:rsidP="00AE2265">
      <w:pPr>
        <w:spacing w:line="240" w:lineRule="auto"/>
        <w:jc w:val="both"/>
        <w:rPr>
          <w:rFonts w:ascii="Arial" w:hAnsi="Arial" w:cs="Arial"/>
        </w:rPr>
      </w:pPr>
      <w:r w:rsidRPr="00AE2265">
        <w:rPr>
          <w:rFonts w:ascii="Arial" w:hAnsi="Arial" w:cs="Arial"/>
          <w:b/>
          <w:bCs/>
        </w:rPr>
        <w:t>Competencia:</w:t>
      </w:r>
      <w:r w:rsidRPr="00AE2265">
        <w:rPr>
          <w:rFonts w:ascii="Arial" w:hAnsi="Arial" w:cs="Arial"/>
        </w:rPr>
        <w:t xml:space="preserve"> 220201103 Categorizar productos de acuerdo con normativa técnica de etiquetado ambiental</w:t>
      </w:r>
    </w:p>
    <w:p w14:paraId="3EFB8DA3" w14:textId="23C96E9E" w:rsidR="00282CE4" w:rsidRPr="00AE2265" w:rsidRDefault="00282CE4" w:rsidP="00AE2265">
      <w:pPr>
        <w:spacing w:line="240" w:lineRule="auto"/>
        <w:jc w:val="both"/>
        <w:rPr>
          <w:rFonts w:ascii="Arial" w:hAnsi="Arial" w:cs="Arial"/>
          <w:b/>
          <w:bCs/>
        </w:rPr>
      </w:pPr>
      <w:r w:rsidRPr="00AE2265">
        <w:rPr>
          <w:rFonts w:ascii="Arial" w:hAnsi="Arial" w:cs="Arial"/>
          <w:b/>
          <w:bCs/>
        </w:rPr>
        <w:t>Resultados de Aprendizaje:</w:t>
      </w:r>
    </w:p>
    <w:p w14:paraId="53757F61" w14:textId="1E77DB02" w:rsidR="00282CE4" w:rsidRPr="00AE2265" w:rsidRDefault="00282CE4" w:rsidP="00AE2265">
      <w:pPr>
        <w:pStyle w:val="Prrafodelista"/>
        <w:numPr>
          <w:ilvl w:val="0"/>
          <w:numId w:val="23"/>
        </w:numPr>
        <w:spacing w:line="240" w:lineRule="auto"/>
        <w:jc w:val="both"/>
        <w:rPr>
          <w:rFonts w:ascii="Arial" w:hAnsi="Arial" w:cs="Arial"/>
        </w:rPr>
      </w:pPr>
      <w:r w:rsidRPr="00AE2265">
        <w:rPr>
          <w:rFonts w:ascii="Arial" w:hAnsi="Arial" w:cs="Arial"/>
        </w:rPr>
        <w:t xml:space="preserve"> </w:t>
      </w:r>
      <w:proofErr w:type="spellStart"/>
      <w:r w:rsidRPr="00AE2265">
        <w:rPr>
          <w:rFonts w:ascii="Arial" w:hAnsi="Arial" w:cs="Arial"/>
        </w:rPr>
        <w:t>RA1</w:t>
      </w:r>
      <w:proofErr w:type="spellEnd"/>
      <w:r w:rsidRPr="00AE2265">
        <w:rPr>
          <w:rFonts w:ascii="Arial" w:hAnsi="Arial" w:cs="Arial"/>
        </w:rPr>
        <w:t>. Analizar oportunidades de negocios verdes e inclusivos teniendo en cuenta contexto territorial.</w:t>
      </w:r>
    </w:p>
    <w:p w14:paraId="1D05106D" w14:textId="0F25AA62" w:rsidR="00BD5094" w:rsidRPr="00AE2265" w:rsidRDefault="00282CE4" w:rsidP="00AE2265">
      <w:pPr>
        <w:pStyle w:val="Prrafodelista"/>
        <w:numPr>
          <w:ilvl w:val="0"/>
          <w:numId w:val="23"/>
        </w:numPr>
        <w:spacing w:line="240" w:lineRule="auto"/>
        <w:jc w:val="both"/>
        <w:rPr>
          <w:rFonts w:ascii="Arial" w:hAnsi="Arial" w:cs="Arial"/>
        </w:rPr>
      </w:pPr>
      <w:r w:rsidRPr="00AE2265">
        <w:rPr>
          <w:rFonts w:ascii="Arial" w:hAnsi="Arial" w:cs="Arial"/>
        </w:rPr>
        <w:t xml:space="preserve"> </w:t>
      </w:r>
      <w:proofErr w:type="spellStart"/>
      <w:r w:rsidRPr="00AE2265">
        <w:rPr>
          <w:rFonts w:ascii="Arial" w:hAnsi="Arial" w:cs="Arial"/>
        </w:rPr>
        <w:t>RA2</w:t>
      </w:r>
      <w:proofErr w:type="spellEnd"/>
      <w:r w:rsidRPr="00AE2265">
        <w:rPr>
          <w:rFonts w:ascii="Arial" w:hAnsi="Arial" w:cs="Arial"/>
        </w:rPr>
        <w:t>. Formular modelos de negocios verdes e inclusivos según políticas y planes nacionales</w:t>
      </w:r>
      <w:r w:rsidR="00BD5094" w:rsidRPr="00AE2265">
        <w:rPr>
          <w:rFonts w:ascii="Arial" w:hAnsi="Arial" w:cs="Arial"/>
        </w:rPr>
        <w:t xml:space="preserve">, </w:t>
      </w:r>
    </w:p>
    <w:p w14:paraId="2F477666" w14:textId="72469D48" w:rsidR="00F51763" w:rsidRPr="00AE2265" w:rsidRDefault="00B53D0D" w:rsidP="00AE2265">
      <w:pPr>
        <w:spacing w:line="240" w:lineRule="auto"/>
        <w:ind w:left="360"/>
        <w:jc w:val="both"/>
        <w:rPr>
          <w:rFonts w:ascii="Arial" w:hAnsi="Arial" w:cs="Arial"/>
        </w:rPr>
      </w:pPr>
      <w:r w:rsidRPr="00AE2265">
        <w:rPr>
          <w:rFonts w:ascii="Arial" w:hAnsi="Arial" w:cs="Arial"/>
          <w:b/>
          <w:bCs/>
        </w:rPr>
        <w:t>Duración de la Guía</w:t>
      </w:r>
      <w:r w:rsidR="005E2F69" w:rsidRPr="00AE2265">
        <w:rPr>
          <w:rFonts w:ascii="Arial" w:hAnsi="Arial" w:cs="Arial"/>
          <w:b/>
          <w:bCs/>
        </w:rPr>
        <w:t xml:space="preserve"> de Aprendizaje</w:t>
      </w:r>
      <w:r w:rsidR="00F51763" w:rsidRPr="00AE2265">
        <w:rPr>
          <w:rFonts w:ascii="Arial" w:hAnsi="Arial" w:cs="Arial"/>
          <w:b/>
          <w:bCs/>
        </w:rPr>
        <w:t xml:space="preserve"> (horas</w:t>
      </w:r>
      <w:r w:rsidR="00F51763" w:rsidRPr="00AE2265">
        <w:rPr>
          <w:rFonts w:ascii="Arial" w:hAnsi="Arial" w:cs="Arial"/>
        </w:rPr>
        <w:t>):</w:t>
      </w:r>
      <w:r w:rsidR="007B741D" w:rsidRPr="00AE2265">
        <w:rPr>
          <w:rFonts w:ascii="Arial" w:hAnsi="Arial" w:cs="Arial"/>
        </w:rPr>
        <w:t xml:space="preserve"> 96</w:t>
      </w:r>
    </w:p>
    <w:p w14:paraId="404C1C95" w14:textId="77777777" w:rsidR="00B15E97" w:rsidRPr="00AE2265" w:rsidRDefault="00B15E97" w:rsidP="00AE2265">
      <w:pPr>
        <w:spacing w:after="0" w:line="240" w:lineRule="auto"/>
        <w:jc w:val="both"/>
        <w:rPr>
          <w:rFonts w:ascii="Arial" w:hAnsi="Arial" w:cs="Arial"/>
          <w:b/>
        </w:rPr>
      </w:pPr>
    </w:p>
    <w:p w14:paraId="6395F881" w14:textId="0385D514" w:rsidR="00B53D0D" w:rsidRPr="00AE2265" w:rsidRDefault="00B53D0D" w:rsidP="00AE2265">
      <w:pPr>
        <w:spacing w:after="0" w:line="240" w:lineRule="auto"/>
        <w:jc w:val="both"/>
        <w:rPr>
          <w:rFonts w:ascii="Arial" w:hAnsi="Arial" w:cs="Arial"/>
          <w:b/>
        </w:rPr>
      </w:pPr>
      <w:r w:rsidRPr="00AE2265">
        <w:rPr>
          <w:rFonts w:ascii="Arial" w:hAnsi="Arial" w:cs="Arial"/>
          <w:b/>
        </w:rPr>
        <w:t>2. PRESENTACIÓN</w:t>
      </w:r>
    </w:p>
    <w:p w14:paraId="1DA46D31" w14:textId="77777777" w:rsidR="00CE69A9" w:rsidRPr="00AE2265" w:rsidRDefault="00CE69A9" w:rsidP="00AE2265">
      <w:pPr>
        <w:spacing w:after="0" w:line="240" w:lineRule="auto"/>
        <w:jc w:val="both"/>
        <w:rPr>
          <w:rFonts w:ascii="Arial" w:eastAsiaTheme="minorHAnsi" w:hAnsi="Arial" w:cs="Arial"/>
        </w:rPr>
      </w:pPr>
    </w:p>
    <w:p w14:paraId="1EB7CD0D" w14:textId="77777777" w:rsidR="00D7008C" w:rsidRPr="00AE2265" w:rsidRDefault="00D7008C" w:rsidP="00AE2265">
      <w:pPr>
        <w:tabs>
          <w:tab w:val="left" w:pos="3828"/>
        </w:tabs>
        <w:spacing w:line="240" w:lineRule="auto"/>
        <w:jc w:val="both"/>
        <w:rPr>
          <w:rFonts w:ascii="Arial" w:hAnsi="Arial" w:cs="Arial"/>
          <w:lang w:val="es-MX"/>
        </w:rPr>
      </w:pPr>
      <w:r w:rsidRPr="00AE2265">
        <w:rPr>
          <w:rFonts w:ascii="Arial" w:hAnsi="Arial" w:cs="Arial"/>
          <w:lang w:val="es-MX"/>
        </w:rPr>
        <w:t>El programa complementario en Estructuración de Modelos de Negocios Verdes busca dotar a los aprendices con la capacidad de diferenciar los negocios verdes de los convencionales y formularlos cumpliendo sus criterios y características. Los negocios verdes son una estrategia clave a nivel nacional e internacional para que los sectores productivos contribuyan a la solución de desafíos como la degradación ambiental, la pérdida de biodiversidad y la pobreza. Este programa se alinea con la Agenda 2030 de Objetivos de Desarrollo Sostenible (ODS) de la ONU y con políticas nacionales como el Plan Nacional de Negocios Verdes (</w:t>
      </w:r>
      <w:proofErr w:type="spellStart"/>
      <w:r w:rsidRPr="00AE2265">
        <w:rPr>
          <w:rFonts w:ascii="Arial" w:hAnsi="Arial" w:cs="Arial"/>
          <w:lang w:val="es-MX"/>
        </w:rPr>
        <w:t>PNNV</w:t>
      </w:r>
      <w:proofErr w:type="spellEnd"/>
      <w:r w:rsidRPr="00AE2265">
        <w:rPr>
          <w:rFonts w:ascii="Arial" w:hAnsi="Arial" w:cs="Arial"/>
          <w:lang w:val="es-MX"/>
        </w:rPr>
        <w:t>). Su objetivo es generar capacidades para el desarrollo de negocios que tengan un impacto social y económico en los territorios, promoviendo la participación de comunidades rurales, étnicas y en condición de vulnerabilidad, y reconociendo la riqueza natural del país. A través de esta guía, se busca motivar el aprendizaje autónomo y colaborativo, conectando conocimientos previos con los nuevos para una comprensión integral del sector de los negocios verdes.</w:t>
      </w:r>
    </w:p>
    <w:p w14:paraId="05E7627C" w14:textId="63E93677" w:rsidR="00B53D0D" w:rsidRPr="00AE2265" w:rsidRDefault="00B53D0D" w:rsidP="00AE2265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b/>
          <w:lang w:val="es-MX"/>
        </w:rPr>
      </w:pPr>
      <w:r w:rsidRPr="00AE2265">
        <w:rPr>
          <w:rFonts w:ascii="Arial" w:hAnsi="Arial" w:cs="Arial"/>
          <w:b/>
          <w:lang w:val="es-MX"/>
        </w:rPr>
        <w:t>3.  FORMULACIÓN DE LAS ACTIVIDADES DE APRENDIZAJE</w:t>
      </w:r>
    </w:p>
    <w:p w14:paraId="18B9DB2F" w14:textId="77777777" w:rsidR="00B53D0D" w:rsidRPr="00AE2265" w:rsidRDefault="00B53D0D" w:rsidP="00AE2265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b/>
          <w:bCs/>
          <w:lang w:val="es-MX"/>
        </w:rPr>
      </w:pPr>
      <w:r w:rsidRPr="00AE2265">
        <w:rPr>
          <w:rFonts w:ascii="Arial" w:hAnsi="Arial" w:cs="Arial"/>
          <w:b/>
          <w:bCs/>
          <w:lang w:val="es-MX"/>
        </w:rPr>
        <w:t>Descripción de la(s) Actividad(es)</w:t>
      </w:r>
    </w:p>
    <w:p w14:paraId="795F72A5" w14:textId="77777777" w:rsidR="00D4473F" w:rsidRPr="00AE2265" w:rsidRDefault="00D4473F" w:rsidP="00AE2265">
      <w:pPr>
        <w:shd w:val="clear" w:color="auto" w:fill="FFFFFF" w:themeFill="background1"/>
        <w:spacing w:after="180" w:line="240" w:lineRule="auto"/>
        <w:ind w:left="360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</w:rPr>
        <w:t>3.1 Actividades de reflexión inicial (4 horas)</w:t>
      </w:r>
    </w:p>
    <w:p w14:paraId="5DBE2FFB" w14:textId="5F602353" w:rsidR="00D4473F" w:rsidRPr="00AE2265" w:rsidRDefault="00D4473F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</w:rPr>
        <w:lastRenderedPageBreak/>
        <w:t>Descripción de la actividad</w:t>
      </w:r>
      <w:r w:rsidRPr="00AE2265">
        <w:rPr>
          <w:rFonts w:ascii="Arial" w:eastAsia="Times New Roman" w:hAnsi="Arial" w:cs="Arial"/>
          <w:color w:val="131314"/>
        </w:rPr>
        <w:t xml:space="preserve">: Se realizará un debate grupal sobre la relevancia de los </w:t>
      </w:r>
      <w:r w:rsidRPr="00BC14B6">
        <w:rPr>
          <w:rFonts w:ascii="Arial" w:eastAsia="Times New Roman" w:hAnsi="Arial" w:cs="Arial"/>
          <w:b/>
          <w:bCs/>
          <w:color w:val="131314"/>
        </w:rPr>
        <w:t>negocios verdes como solución a problemas ambientales y sociales</w:t>
      </w:r>
      <w:r w:rsidRPr="00AE2265">
        <w:rPr>
          <w:rFonts w:ascii="Arial" w:eastAsia="Times New Roman" w:hAnsi="Arial" w:cs="Arial"/>
          <w:color w:val="131314"/>
        </w:rPr>
        <w:t>. Los aprendices reflexionarán sobre los principales desafíos que enfrentan los ecosistemas y las comunidades en sus entornos, y cómo las iniciativas productivas sostenibles pueden generar un impacto positivo.</w:t>
      </w:r>
    </w:p>
    <w:p w14:paraId="64439CC1" w14:textId="301484B8" w:rsidR="00D4473F" w:rsidRPr="00AE2265" w:rsidRDefault="00D4473F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</w:rPr>
        <w:t>Ambiente requerido</w:t>
      </w:r>
      <w:r w:rsidRPr="00AE2265">
        <w:rPr>
          <w:rFonts w:ascii="Arial" w:eastAsia="Times New Roman" w:hAnsi="Arial" w:cs="Arial"/>
          <w:color w:val="131314"/>
        </w:rPr>
        <w:t>: Aula o espacio de trabajo colaborativo presencial/virtual.</w:t>
      </w:r>
    </w:p>
    <w:p w14:paraId="10E17986" w14:textId="58C47E63" w:rsidR="00D4473F" w:rsidRPr="00AE2265" w:rsidRDefault="00D4473F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</w:rPr>
        <w:t>Estrategias o técnicas didácticas activas</w:t>
      </w:r>
      <w:r w:rsidRPr="00AE2265">
        <w:rPr>
          <w:rFonts w:ascii="Arial" w:eastAsia="Times New Roman" w:hAnsi="Arial" w:cs="Arial"/>
          <w:color w:val="131314"/>
        </w:rPr>
        <w:t>: Debate abierto, lluvia de ideas, mesa redonda.</w:t>
      </w:r>
    </w:p>
    <w:p w14:paraId="34FFC240" w14:textId="54DA7902" w:rsidR="00D4473F" w:rsidRPr="00AE2265" w:rsidRDefault="00D4473F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</w:rPr>
        <w:t>Materiales de formación</w:t>
      </w:r>
      <w:r w:rsidRPr="00AE2265">
        <w:rPr>
          <w:rFonts w:ascii="Arial" w:eastAsia="Times New Roman" w:hAnsi="Arial" w:cs="Arial"/>
          <w:color w:val="131314"/>
        </w:rPr>
        <w:t>: Presentación introductoria sobre la justificación de los Negocios Verdes.</w:t>
      </w:r>
    </w:p>
    <w:p w14:paraId="52CBF068" w14:textId="15AD4CDE" w:rsidR="00D4473F" w:rsidRPr="00AE2265" w:rsidRDefault="00D4473F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</w:rPr>
        <w:t>Material de apoyo</w:t>
      </w:r>
      <w:r w:rsidRPr="00AE2265">
        <w:rPr>
          <w:rFonts w:ascii="Arial" w:eastAsia="Times New Roman" w:hAnsi="Arial" w:cs="Arial"/>
          <w:color w:val="131314"/>
        </w:rPr>
        <w:t>: Noticias o reportajes sobre problemáticas ambientales y sociales locales/globales.</w:t>
      </w:r>
    </w:p>
    <w:p w14:paraId="74D2B9D8" w14:textId="77822424" w:rsidR="00D4473F" w:rsidRPr="00AE2265" w:rsidRDefault="00D4473F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</w:rPr>
        <w:t>Duración de la actividad</w:t>
      </w:r>
      <w:r w:rsidRPr="00AE2265">
        <w:rPr>
          <w:rFonts w:ascii="Arial" w:eastAsia="Times New Roman" w:hAnsi="Arial" w:cs="Arial"/>
          <w:color w:val="131314"/>
        </w:rPr>
        <w:t>: 4 horas.</w:t>
      </w:r>
    </w:p>
    <w:p w14:paraId="6E14D626" w14:textId="5BCF286A" w:rsidR="00F51763" w:rsidRPr="00AE2265" w:rsidRDefault="00F51763" w:rsidP="00AE2265">
      <w:pPr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05D432AF" w14:textId="77777777" w:rsidR="006D69CC" w:rsidRPr="00AE2265" w:rsidRDefault="006D69CC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3.2 Actividades de contextualización e identificación de conocimientos necesarios para el aprendizaje (24 horas)</w:t>
      </w:r>
    </w:p>
    <w:p w14:paraId="38A9237D" w14:textId="6E560073" w:rsidR="006D69CC" w:rsidRPr="00AE2265" w:rsidRDefault="006D69CC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Descripción de la actividad</w:t>
      </w:r>
      <w:r w:rsidRPr="00AE2265">
        <w:rPr>
          <w:rFonts w:ascii="Arial" w:eastAsia="Times New Roman" w:hAnsi="Arial" w:cs="Arial"/>
          <w:color w:val="131314"/>
          <w:lang w:val="es-ES"/>
        </w:rPr>
        <w:t>:</w:t>
      </w:r>
    </w:p>
    <w:p w14:paraId="4BC349ED" w14:textId="77777777" w:rsidR="006D69CC" w:rsidRPr="00AE2265" w:rsidRDefault="006D69CC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   ◦ Estudio detallado de los fundamentos del crecimiento verde, incluyendo las políticas nacionales (Plan Nacional de Negocios Verdes del MADS, CONPES 3934) y la Estrategia para la Implementación de ODS en Colombia.</w:t>
      </w:r>
    </w:p>
    <w:p w14:paraId="1DF7E8EF" w14:textId="77777777" w:rsidR="006D69CC" w:rsidRPr="00AE2265" w:rsidRDefault="006D69CC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   ◦ Análisis de los conceptos y definiciones de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Negocios Verdes</w:t>
      </w:r>
      <w:r w:rsidRPr="00AE2265">
        <w:rPr>
          <w:rFonts w:ascii="Arial" w:eastAsia="Times New Roman" w:hAnsi="Arial" w:cs="Arial"/>
          <w:color w:val="131314"/>
          <w:lang w:val="es-ES"/>
        </w:rPr>
        <w:t xml:space="preserve">, sus características, categorías y los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12 criterios establecidos</w:t>
      </w:r>
      <w:r w:rsidRPr="00AE2265">
        <w:rPr>
          <w:rFonts w:ascii="Arial" w:eastAsia="Times New Roman" w:hAnsi="Arial" w:cs="Arial"/>
          <w:color w:val="131314"/>
          <w:lang w:val="es-ES"/>
        </w:rPr>
        <w:t xml:space="preserve"> por el 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PNNV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>, que se dividen en componentes económico, ambiental, social y avanzado.</w:t>
      </w:r>
    </w:p>
    <w:p w14:paraId="4AAFD883" w14:textId="77777777" w:rsidR="006D69CC" w:rsidRPr="00AE2265" w:rsidRDefault="006D69CC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   ◦ Identificación de los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impactos ambientales positivos</w:t>
      </w:r>
      <w:r w:rsidRPr="00AE2265">
        <w:rPr>
          <w:rFonts w:ascii="Arial" w:eastAsia="Times New Roman" w:hAnsi="Arial" w:cs="Arial"/>
          <w:color w:val="131314"/>
          <w:lang w:val="es-ES"/>
        </w:rPr>
        <w:t xml:space="preserve"> (ej. conservación, reducción de emisiones de GEI, disminución de la contaminación, mantenimiento de la biodiversidad) y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sociales positivos</w:t>
      </w:r>
      <w:r w:rsidRPr="00AE2265">
        <w:rPr>
          <w:rFonts w:ascii="Arial" w:eastAsia="Times New Roman" w:hAnsi="Arial" w:cs="Arial"/>
          <w:color w:val="131314"/>
          <w:lang w:val="es-ES"/>
        </w:rPr>
        <w:t xml:space="preserve"> (ej. desarrollo de dinámicas de economía solidaria, generación de encadenamientos comerciales con enfoque diferencial, promoción del empleo local).</w:t>
      </w:r>
    </w:p>
    <w:p w14:paraId="57120290" w14:textId="77777777" w:rsidR="006D69CC" w:rsidRPr="00AE2265" w:rsidRDefault="006D69CC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   ◦ Estudio de los fundamentos de mercados: sistema económico global, oferta, demanda, tendencias, y la relación con bienes y servicios ecosistémicos y segmentación.</w:t>
      </w:r>
    </w:p>
    <w:p w14:paraId="68F93A82" w14:textId="38ACC743" w:rsidR="006D69CC" w:rsidRPr="00AE2265" w:rsidRDefault="006D69CC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Ambiente requerido</w:t>
      </w:r>
      <w:r w:rsidRPr="00AE2265">
        <w:rPr>
          <w:rFonts w:ascii="Arial" w:eastAsia="Times New Roman" w:hAnsi="Arial" w:cs="Arial"/>
          <w:color w:val="131314"/>
          <w:lang w:val="es-ES"/>
        </w:rPr>
        <w:t>: Aula, acceso a internet y recursos documentales.</w:t>
      </w:r>
    </w:p>
    <w:p w14:paraId="3C467228" w14:textId="6167F704" w:rsidR="006D69CC" w:rsidRPr="00AE2265" w:rsidRDefault="006D69CC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Estrategias o técnicas didácticas activas</w:t>
      </w:r>
      <w:r w:rsidRPr="00AE2265">
        <w:rPr>
          <w:rFonts w:ascii="Arial" w:eastAsia="Times New Roman" w:hAnsi="Arial" w:cs="Arial"/>
          <w:color w:val="131314"/>
          <w:lang w:val="es-ES"/>
        </w:rPr>
        <w:t>: Clases magistrales interactivas, lecturas guiadas de documentos fuente, elaboración de mapas conceptuales y diagramas de flujo de los criterios y sus impactos.</w:t>
      </w:r>
    </w:p>
    <w:p w14:paraId="759635B4" w14:textId="7741944A" w:rsidR="006D69CC" w:rsidRPr="00AE2265" w:rsidRDefault="006D69CC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Materiales de formación</w:t>
      </w:r>
      <w:r w:rsidRPr="00AE2265">
        <w:rPr>
          <w:rFonts w:ascii="Arial" w:eastAsia="Times New Roman" w:hAnsi="Arial" w:cs="Arial"/>
          <w:color w:val="131314"/>
          <w:lang w:val="es-ES"/>
        </w:rPr>
        <w:t>: Extractos de "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ESTRUCTURACION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 xml:space="preserve"> DE MODELOS DE NEGOCIO 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VERDES.pdf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>", secciones 2.1 a 2.7 de "G-M-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GDS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>-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01_V1_GUIA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 xml:space="preserve"> 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VERIFICACION.pdf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>".</w:t>
      </w:r>
    </w:p>
    <w:p w14:paraId="1E973E0B" w14:textId="7CB1471E" w:rsidR="006D69CC" w:rsidRPr="00AE2265" w:rsidRDefault="006D69CC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Material de apoyo</w:t>
      </w:r>
      <w:r w:rsidRPr="00AE2265">
        <w:rPr>
          <w:rFonts w:ascii="Arial" w:eastAsia="Times New Roman" w:hAnsi="Arial" w:cs="Arial"/>
          <w:color w:val="131314"/>
          <w:lang w:val="es-ES"/>
        </w:rPr>
        <w:t>: Documentos oficiales del Ministerio de Ambiente y Desarrollo Sostenible (MADS).</w:t>
      </w:r>
    </w:p>
    <w:p w14:paraId="2B33E505" w14:textId="4B5D33B5" w:rsidR="006D69CC" w:rsidRPr="00AE2265" w:rsidRDefault="006D69CC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Duración de la actividad</w:t>
      </w:r>
      <w:r w:rsidRPr="00AE2265">
        <w:rPr>
          <w:rFonts w:ascii="Arial" w:eastAsia="Times New Roman" w:hAnsi="Arial" w:cs="Arial"/>
          <w:color w:val="131314"/>
          <w:lang w:val="es-ES"/>
        </w:rPr>
        <w:t>: 24 horas.</w:t>
      </w:r>
    </w:p>
    <w:p w14:paraId="3E152328" w14:textId="354E43E6" w:rsidR="00F51763" w:rsidRPr="00AE2265" w:rsidRDefault="00F51763" w:rsidP="00AE2265">
      <w:pPr>
        <w:spacing w:after="0" w:line="240" w:lineRule="auto"/>
        <w:jc w:val="both"/>
        <w:rPr>
          <w:rFonts w:ascii="Arial" w:hAnsi="Arial" w:cs="Arial"/>
          <w:lang w:val="es-MX"/>
        </w:rPr>
      </w:pPr>
    </w:p>
    <w:p w14:paraId="6013C6F1" w14:textId="77777777" w:rsidR="00F87D8E" w:rsidRPr="00AE2265" w:rsidRDefault="00F87D8E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3.3 Actividades de apropiación (40 horas)</w:t>
      </w:r>
    </w:p>
    <w:p w14:paraId="71C3E29D" w14:textId="634A01F1" w:rsidR="00F87D8E" w:rsidRPr="00AE2265" w:rsidRDefault="00F87D8E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lastRenderedPageBreak/>
        <w:t>Descripción de la actividad</w:t>
      </w:r>
      <w:r w:rsidRPr="00AE2265">
        <w:rPr>
          <w:rFonts w:ascii="Arial" w:eastAsia="Times New Roman" w:hAnsi="Arial" w:cs="Arial"/>
          <w:color w:val="131314"/>
          <w:lang w:val="es-ES"/>
        </w:rPr>
        <w:t>:</w:t>
      </w:r>
    </w:p>
    <w:p w14:paraId="02D9A3CA" w14:textId="77777777" w:rsidR="00F87D8E" w:rsidRPr="00AE2265" w:rsidRDefault="00F87D8E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   ◦ Aplicación de metodologías para la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definición de modelos de negocios</w:t>
      </w:r>
      <w:r w:rsidRPr="00AE2265">
        <w:rPr>
          <w:rFonts w:ascii="Arial" w:eastAsia="Times New Roman" w:hAnsi="Arial" w:cs="Arial"/>
          <w:color w:val="131314"/>
          <w:lang w:val="es-ES"/>
        </w:rPr>
        <w:t>, incluyendo la propuesta de valor, diferenciadores, análisis de la competencia y oportunidades de mercado.</w:t>
      </w:r>
    </w:p>
    <w:p w14:paraId="726D2E82" w14:textId="77777777" w:rsidR="00F87D8E" w:rsidRPr="00AE2265" w:rsidRDefault="00F87D8E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   ◦ Desarrollo de estrategias para la captación y retención de clientes.</w:t>
      </w:r>
    </w:p>
    <w:p w14:paraId="619E1EEC" w14:textId="29396BC5" w:rsidR="00F87D8E" w:rsidRPr="00AE2265" w:rsidRDefault="00F87D8E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Identificación y diseño de estrategias de comercialización inclusiva</w:t>
      </w:r>
      <w:r w:rsidRPr="00AE2265">
        <w:rPr>
          <w:rFonts w:ascii="Arial" w:eastAsia="Times New Roman" w:hAnsi="Arial" w:cs="Arial"/>
          <w:color w:val="131314"/>
          <w:lang w:val="es-ES"/>
        </w:rPr>
        <w:t xml:space="preserve">, abordando el biocomercio, los negocios inclusivos, y diversos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canales de comercialización</w:t>
      </w:r>
      <w:r w:rsidRPr="00AE2265">
        <w:rPr>
          <w:rFonts w:ascii="Arial" w:eastAsia="Times New Roman" w:hAnsi="Arial" w:cs="Arial"/>
          <w:color w:val="131314"/>
          <w:lang w:val="es-ES"/>
        </w:rPr>
        <w:t xml:space="preserve"> (directos como punto de venta, e-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commerce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 xml:space="preserve">, mercados campesinos/ferias locales; e indirectos como supermercados, 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micromercados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 xml:space="preserve">/tiendas verdes, canales mayoristas). Se profundizará en las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alianzas estratégicas, marketing verde, circuitos cortos de comercialización y comercio justo</w:t>
      </w:r>
      <w:r w:rsidRPr="00AE2265">
        <w:rPr>
          <w:rFonts w:ascii="Arial" w:eastAsia="Times New Roman" w:hAnsi="Arial" w:cs="Arial"/>
          <w:color w:val="131314"/>
          <w:lang w:val="es-ES"/>
        </w:rPr>
        <w:t>.</w:t>
      </w:r>
    </w:p>
    <w:p w14:paraId="0A1531A8" w14:textId="77777777" w:rsidR="00F87D8E" w:rsidRPr="00AE2265" w:rsidRDefault="00F87D8E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   ◦ Formulación de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esquemas de comercialización</w:t>
      </w:r>
      <w:r w:rsidRPr="00AE2265">
        <w:rPr>
          <w:rFonts w:ascii="Arial" w:eastAsia="Times New Roman" w:hAnsi="Arial" w:cs="Arial"/>
          <w:color w:val="131314"/>
          <w:lang w:val="es-ES"/>
        </w:rPr>
        <w:t xml:space="preserve"> que consideren el comportamiento del mercado, los grupos de interés y las estrategias de marketing verde.</w:t>
      </w:r>
    </w:p>
    <w:p w14:paraId="6A1EBF6A" w14:textId="77777777" w:rsidR="00F87D8E" w:rsidRPr="00AE2265" w:rsidRDefault="00F87D8E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   ◦ Análisis de la estructura de costos, tipos de gastos y administración financiera para un modelo de negocio verde.</w:t>
      </w:r>
    </w:p>
    <w:p w14:paraId="38A226FE" w14:textId="59F2ABDB" w:rsidR="00F87D8E" w:rsidRPr="00AE2265" w:rsidRDefault="00F87D8E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Ambiente requerido</w:t>
      </w:r>
      <w:r w:rsidRPr="00AE2265">
        <w:rPr>
          <w:rFonts w:ascii="Arial" w:eastAsia="Times New Roman" w:hAnsi="Arial" w:cs="Arial"/>
          <w:color w:val="131314"/>
          <w:lang w:val="es-ES"/>
        </w:rPr>
        <w:t xml:space="preserve">: Aula, software para diseño de modelos de negocio (ej. 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Canvas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>), acceso a plataformas de e-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commerce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 xml:space="preserve"> y casos de estudio.</w:t>
      </w:r>
    </w:p>
    <w:p w14:paraId="3FBE9DD0" w14:textId="2681F75B" w:rsidR="00F87D8E" w:rsidRPr="00AE2265" w:rsidRDefault="00F87D8E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Estrategias o técnicas didácticas activas</w:t>
      </w:r>
      <w:r w:rsidRPr="00AE2265">
        <w:rPr>
          <w:rFonts w:ascii="Arial" w:eastAsia="Times New Roman" w:hAnsi="Arial" w:cs="Arial"/>
          <w:color w:val="131314"/>
          <w:lang w:val="es-ES"/>
        </w:rPr>
        <w:t>: Talleres prácticos de diseño de modelos de negocio, ejercicios de segmentación de mercados y definición de perfiles de clientes, desarrollo de un plan de marketing verde, creación de propuestas de comercialización inclusiva para un bien o servicio.</w:t>
      </w:r>
    </w:p>
    <w:p w14:paraId="0EB90F9B" w14:textId="6FC9D38A" w:rsidR="00F87D8E" w:rsidRPr="00AE2265" w:rsidRDefault="00F87D8E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Materiales de formación</w:t>
      </w:r>
      <w:r w:rsidRPr="00AE2265">
        <w:rPr>
          <w:rFonts w:ascii="Arial" w:eastAsia="Times New Roman" w:hAnsi="Arial" w:cs="Arial"/>
          <w:color w:val="131314"/>
          <w:lang w:val="es-ES"/>
        </w:rPr>
        <w:t>: Extractos de "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ESTRUCTURACION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 xml:space="preserve"> DE MODELOS DE NEGOCIO VERDES (1).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pdf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>" (secciones 2.2, 2.3, 2.5, 2.6), y la sección 2.3.4 sobre Canales de comercialización de "F-M-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GDS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>-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09_V5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 xml:space="preserve"> FICHA 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HERRAMIENTA.pdf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>".</w:t>
      </w:r>
    </w:p>
    <w:p w14:paraId="6C985505" w14:textId="6DE94A9B" w:rsidR="00F87D8E" w:rsidRPr="00AE2265" w:rsidRDefault="00F87D8E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Material de apoyo</w:t>
      </w:r>
      <w:r w:rsidRPr="00AE2265">
        <w:rPr>
          <w:rFonts w:ascii="Arial" w:eastAsia="Times New Roman" w:hAnsi="Arial" w:cs="Arial"/>
          <w:color w:val="131314"/>
          <w:lang w:val="es-ES"/>
        </w:rPr>
        <w:t>: Plantillas de modelos de negocio, ejemplos exitosos de comercialización inclusiva y marketing verde.</w:t>
      </w:r>
    </w:p>
    <w:p w14:paraId="2B0284FF" w14:textId="140092CB" w:rsidR="00F87D8E" w:rsidRPr="00AE2265" w:rsidRDefault="00F87D8E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Duración de la actividad</w:t>
      </w:r>
      <w:r w:rsidRPr="00AE2265">
        <w:rPr>
          <w:rFonts w:ascii="Arial" w:eastAsia="Times New Roman" w:hAnsi="Arial" w:cs="Arial"/>
          <w:color w:val="131314"/>
          <w:lang w:val="es-ES"/>
        </w:rPr>
        <w:t>: 40 horas.</w:t>
      </w:r>
    </w:p>
    <w:p w14:paraId="4D61C147" w14:textId="77777777" w:rsidR="00AE2265" w:rsidRPr="00AE2265" w:rsidRDefault="00AE2265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3.4 Actividades de Transferencia el Conocimiento (28 horas)</w:t>
      </w:r>
    </w:p>
    <w:p w14:paraId="3A409EAE" w14:textId="77777777" w:rsidR="00AE2265" w:rsidRPr="00AE2265" w:rsidRDefault="00AE2265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•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Descripción de la actividad</w:t>
      </w:r>
      <w:r w:rsidRPr="00AE2265">
        <w:rPr>
          <w:rFonts w:ascii="Arial" w:eastAsia="Times New Roman" w:hAnsi="Arial" w:cs="Arial"/>
          <w:color w:val="131314"/>
          <w:lang w:val="es-ES"/>
        </w:rPr>
        <w:t>:</w:t>
      </w:r>
    </w:p>
    <w:p w14:paraId="5C14438A" w14:textId="77777777" w:rsidR="00AE2265" w:rsidRPr="00AE2265" w:rsidRDefault="00AE2265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   ◦ Aplicación práctica de la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"Herramienta de Verificación de Negocios Verdes (Ficha)"</w:t>
      </w:r>
      <w:r w:rsidRPr="00AE2265">
        <w:rPr>
          <w:rFonts w:ascii="Arial" w:eastAsia="Times New Roman" w:hAnsi="Arial" w:cs="Arial"/>
          <w:color w:val="131314"/>
          <w:lang w:val="es-ES"/>
        </w:rPr>
        <w:t xml:space="preserve"> del MADS, que permite recopilar información en las dimensiones social, ambiental y económica.</w:t>
      </w:r>
    </w:p>
    <w:p w14:paraId="106FE62B" w14:textId="77777777" w:rsidR="00AE2265" w:rsidRPr="00AE2265" w:rsidRDefault="00AE2265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   ◦ Simulación del procedimiento de verificación de negocios verdes, cubriendo las fases de inscripción, caracterización y verificación.</w:t>
      </w:r>
    </w:p>
    <w:p w14:paraId="2FDDBBB7" w14:textId="77777777" w:rsidR="00AE2265" w:rsidRPr="00AE2265" w:rsidRDefault="00AE2265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   ◦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Evaluación de negocios verdes hipotéticos</w:t>
      </w:r>
      <w:r w:rsidRPr="00AE2265">
        <w:rPr>
          <w:rFonts w:ascii="Arial" w:eastAsia="Times New Roman" w:hAnsi="Arial" w:cs="Arial"/>
          <w:color w:val="131314"/>
          <w:lang w:val="es-ES"/>
        </w:rPr>
        <w:t xml:space="preserve"> o del propio modelo propuesto, utilizando los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12 criterios</w:t>
      </w:r>
      <w:r w:rsidRPr="00AE2265">
        <w:rPr>
          <w:rFonts w:ascii="Arial" w:eastAsia="Times New Roman" w:hAnsi="Arial" w:cs="Arial"/>
          <w:color w:val="131314"/>
          <w:lang w:val="es-ES"/>
        </w:rPr>
        <w:t xml:space="preserve"> y sus indicadores cuantitativos de los componentes económico, ambiental, social y avanzado.</w:t>
      </w:r>
    </w:p>
    <w:p w14:paraId="687728E1" w14:textId="77777777" w:rsidR="00AE2265" w:rsidRPr="00AE2265" w:rsidRDefault="00AE2265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   ◦ Énfasis en la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valoración de los indicadores sociales</w:t>
      </w:r>
      <w:r w:rsidRPr="00AE2265">
        <w:rPr>
          <w:rFonts w:ascii="Arial" w:eastAsia="Times New Roman" w:hAnsi="Arial" w:cs="Arial"/>
          <w:color w:val="131314"/>
          <w:lang w:val="es-ES"/>
        </w:rPr>
        <w:t>: enfoque diferencial en la cadena de valor, enfoque diferencial en la generación de empleo, empleo verde y responsabilidad social y educativa ambiental.</w:t>
      </w:r>
    </w:p>
    <w:p w14:paraId="3E6831EE" w14:textId="77777777" w:rsidR="00AE2265" w:rsidRPr="00AE2265" w:rsidRDefault="00AE2265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lastRenderedPageBreak/>
        <w:t xml:space="preserve">    ◦ Desarrollo de un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"Plan de Mejora" o "Plan de Escalamiento"</w:t>
      </w:r>
      <w:r w:rsidRPr="00AE2265">
        <w:rPr>
          <w:rFonts w:ascii="Arial" w:eastAsia="Times New Roman" w:hAnsi="Arial" w:cs="Arial"/>
          <w:color w:val="131314"/>
          <w:lang w:val="es-ES"/>
        </w:rPr>
        <w:t xml:space="preserve"> con acciones concretas para subsanar deficiencias, fortalecer el cumplimiento de criterios y lograr el escalamiento del negocio, de acuerdo con el nivel de cumplimiento identificado (inicial, básico, intermedio, satisfactorio, avanzado, ideal o dinamizador).</w:t>
      </w:r>
    </w:p>
    <w:p w14:paraId="3E504A68" w14:textId="77777777" w:rsidR="00AE2265" w:rsidRPr="00AE2265" w:rsidRDefault="00AE2265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   ◦ Presentación final de los modelos de negocio verde formulados, incluyendo las estrategias de comercialización inclusiva y el análisis de verificación.</w:t>
      </w:r>
    </w:p>
    <w:p w14:paraId="2943548B" w14:textId="3F00DB20" w:rsidR="00AE2265" w:rsidRPr="00AE2265" w:rsidRDefault="00AE2265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Ambiente requerido</w:t>
      </w:r>
      <w:r w:rsidRPr="00AE2265">
        <w:rPr>
          <w:rFonts w:ascii="Arial" w:eastAsia="Times New Roman" w:hAnsi="Arial" w:cs="Arial"/>
          <w:color w:val="131314"/>
          <w:lang w:val="es-ES"/>
        </w:rPr>
        <w:t>: Aula, equipos de cómputo con la Ficha de Verificación digital, espacio para presentaciones.</w:t>
      </w:r>
    </w:p>
    <w:p w14:paraId="170F2D65" w14:textId="0D550B6C" w:rsidR="00AE2265" w:rsidRPr="00AE2265" w:rsidRDefault="00AE2265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Estrategias o técnicas didácticas activas</w:t>
      </w:r>
      <w:r w:rsidRPr="00AE2265">
        <w:rPr>
          <w:rFonts w:ascii="Arial" w:eastAsia="Times New Roman" w:hAnsi="Arial" w:cs="Arial"/>
          <w:color w:val="131314"/>
          <w:lang w:val="es-ES"/>
        </w:rPr>
        <w:t>: Estudio de casos reales para aplicar la ficha de verificación, juego de roles (verificador-empresario), simulación de auditorías internas, elaboración y exposición de Planes de Negocio Verde con su respectivo Plan de Mejora.</w:t>
      </w:r>
    </w:p>
    <w:p w14:paraId="11368849" w14:textId="77777777" w:rsidR="00C6234C" w:rsidRDefault="00AE2265" w:rsidP="00AE2265">
      <w:pPr>
        <w:shd w:val="clear" w:color="auto" w:fill="FFFFFF" w:themeFill="background1"/>
        <w:spacing w:after="180" w:line="240" w:lineRule="auto"/>
        <w:jc w:val="both"/>
        <w:rPr>
          <w:rFonts w:ascii="Arial" w:eastAsia="Times New Roman" w:hAnsi="Arial" w:cs="Arial"/>
          <w:color w:val="131314"/>
          <w:lang w:val="es-ES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Materiales de formación</w:t>
      </w:r>
      <w:r w:rsidRPr="00AE2265">
        <w:rPr>
          <w:rFonts w:ascii="Arial" w:eastAsia="Times New Roman" w:hAnsi="Arial" w:cs="Arial"/>
          <w:color w:val="131314"/>
          <w:lang w:val="es-ES"/>
        </w:rPr>
        <w:t>: "F-M-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GDS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>-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09_V5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 xml:space="preserve"> FICHA 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HERRAMIENTA.pdf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>" (completa, especialmente las secciones 1, 2, 3 y Resultados), "G-M-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GDS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>-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01_V1_GUIA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 xml:space="preserve"> 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VERIFICACION.pdf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 xml:space="preserve">" (secciones 3.1 a 3.4), "P-M-GDS-07_V4_PR 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VERIFICACION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 xml:space="preserve"> </w:t>
      </w:r>
      <w:proofErr w:type="spellStart"/>
      <w:r w:rsidRPr="00AE2265">
        <w:rPr>
          <w:rFonts w:ascii="Arial" w:eastAsia="Times New Roman" w:hAnsi="Arial" w:cs="Arial"/>
          <w:color w:val="131314"/>
          <w:lang w:val="es-ES"/>
        </w:rPr>
        <w:t>NV.pdf</w:t>
      </w:r>
      <w:proofErr w:type="spellEnd"/>
      <w:r w:rsidRPr="00AE2265">
        <w:rPr>
          <w:rFonts w:ascii="Arial" w:eastAsia="Times New Roman" w:hAnsi="Arial" w:cs="Arial"/>
          <w:color w:val="131314"/>
          <w:lang w:val="es-ES"/>
        </w:rPr>
        <w:t>" (sección 5)</w:t>
      </w:r>
    </w:p>
    <w:p w14:paraId="76EF439C" w14:textId="4D7B609F" w:rsidR="00AE2265" w:rsidRPr="00AE2265" w:rsidRDefault="00AE2265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color w:val="131314"/>
          <w:lang w:val="es-ES"/>
        </w:rPr>
        <w:t xml:space="preserve"> </w:t>
      </w: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Material de apoyo</w:t>
      </w:r>
      <w:r w:rsidRPr="00AE2265">
        <w:rPr>
          <w:rFonts w:ascii="Arial" w:eastAsia="Times New Roman" w:hAnsi="Arial" w:cs="Arial"/>
          <w:color w:val="131314"/>
          <w:lang w:val="es-ES"/>
        </w:rPr>
        <w:t>: Ejemplos de Planes de Mejora, rúbricas de evaluación detalladas.</w:t>
      </w:r>
    </w:p>
    <w:p w14:paraId="5401B9E5" w14:textId="32930E8D" w:rsidR="00AE2265" w:rsidRPr="00AE2265" w:rsidRDefault="00AE2265" w:rsidP="00AE2265">
      <w:pPr>
        <w:shd w:val="clear" w:color="auto" w:fill="FFFFFF" w:themeFill="background1"/>
        <w:spacing w:after="180" w:line="240" w:lineRule="auto"/>
        <w:jc w:val="both"/>
        <w:rPr>
          <w:rFonts w:ascii="Arial" w:hAnsi="Arial" w:cs="Arial"/>
        </w:rPr>
      </w:pPr>
      <w:r w:rsidRPr="00AE2265">
        <w:rPr>
          <w:rFonts w:ascii="Arial" w:eastAsia="Times New Roman" w:hAnsi="Arial" w:cs="Arial"/>
          <w:b/>
          <w:bCs/>
          <w:color w:val="131314"/>
          <w:lang w:val="es-ES"/>
        </w:rPr>
        <w:t>Duración de la actividad</w:t>
      </w:r>
      <w:r w:rsidRPr="00AE2265">
        <w:rPr>
          <w:rFonts w:ascii="Arial" w:eastAsia="Times New Roman" w:hAnsi="Arial" w:cs="Arial"/>
          <w:color w:val="131314"/>
          <w:lang w:val="es-ES"/>
        </w:rPr>
        <w:t>: 28 horas.</w:t>
      </w:r>
    </w:p>
    <w:p w14:paraId="41CAF45F" w14:textId="168F9CC8" w:rsidR="00F51763" w:rsidRPr="00AE2265" w:rsidRDefault="00F51763" w:rsidP="00AE2265">
      <w:pPr>
        <w:spacing w:after="0" w:line="240" w:lineRule="auto"/>
        <w:jc w:val="both"/>
        <w:rPr>
          <w:rFonts w:ascii="Arial" w:hAnsi="Arial" w:cs="Arial"/>
          <w:color w:val="000000"/>
          <w:lang w:eastAsia="es-ES"/>
        </w:rPr>
      </w:pPr>
    </w:p>
    <w:p w14:paraId="09BB763B" w14:textId="6A050B8A" w:rsidR="00B53D0D" w:rsidRPr="00AE2265" w:rsidRDefault="00B53D0D" w:rsidP="00AE2265">
      <w:pPr>
        <w:spacing w:after="0" w:line="360" w:lineRule="auto"/>
        <w:jc w:val="both"/>
        <w:rPr>
          <w:rFonts w:ascii="Arial" w:eastAsiaTheme="majorEastAsia" w:hAnsi="Arial" w:cs="Arial"/>
          <w:b/>
        </w:rPr>
      </w:pPr>
      <w:r w:rsidRPr="00AE2265">
        <w:rPr>
          <w:rFonts w:ascii="Arial" w:hAnsi="Arial" w:cs="Arial"/>
          <w:b/>
          <w:color w:val="000000" w:themeColor="text1"/>
        </w:rPr>
        <w:t xml:space="preserve">4. </w:t>
      </w:r>
      <w:r w:rsidR="00743A27" w:rsidRPr="00AE2265">
        <w:rPr>
          <w:rFonts w:ascii="Arial" w:eastAsiaTheme="majorEastAsia" w:hAnsi="Arial" w:cs="Arial"/>
          <w:b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11"/>
        <w:gridCol w:w="1618"/>
        <w:gridCol w:w="1863"/>
        <w:gridCol w:w="1568"/>
        <w:gridCol w:w="1628"/>
        <w:gridCol w:w="1641"/>
      </w:tblGrid>
      <w:tr w:rsidR="004E48D2" w:rsidRPr="00F51763" w14:paraId="6EAF18DB" w14:textId="77777777" w:rsidTr="004E48D2">
        <w:trPr>
          <w:trHeight w:val="464"/>
        </w:trPr>
        <w:tc>
          <w:tcPr>
            <w:tcW w:w="1311" w:type="dxa"/>
            <w:shd w:val="clear" w:color="auto" w:fill="262626" w:themeFill="text1" w:themeFillTint="D9"/>
            <w:vAlign w:val="center"/>
          </w:tcPr>
          <w:p w14:paraId="47517AEF" w14:textId="77777777" w:rsidR="00B30748" w:rsidRPr="00F51763" w:rsidRDefault="00B30748" w:rsidP="00103246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18" w:type="dxa"/>
            <w:shd w:val="clear" w:color="auto" w:fill="262626" w:themeFill="text1" w:themeFillTint="D9"/>
            <w:vAlign w:val="center"/>
          </w:tcPr>
          <w:p w14:paraId="1BE6091B" w14:textId="77777777" w:rsidR="00B30748" w:rsidRPr="00F51763" w:rsidRDefault="00B30748" w:rsidP="00103246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863" w:type="dxa"/>
            <w:shd w:val="clear" w:color="auto" w:fill="262626" w:themeFill="text1" w:themeFillTint="D9"/>
            <w:vAlign w:val="center"/>
          </w:tcPr>
          <w:p w14:paraId="62F801F6" w14:textId="77777777" w:rsidR="00B30748" w:rsidRPr="00F51763" w:rsidRDefault="00B30748" w:rsidP="00103246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568" w:type="dxa"/>
            <w:shd w:val="clear" w:color="auto" w:fill="262626" w:themeFill="text1" w:themeFillTint="D9"/>
            <w:vAlign w:val="center"/>
          </w:tcPr>
          <w:p w14:paraId="5F701A33" w14:textId="77777777" w:rsidR="00B30748" w:rsidRPr="00F51763" w:rsidRDefault="00B30748" w:rsidP="00103246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28" w:type="dxa"/>
            <w:shd w:val="clear" w:color="auto" w:fill="262626" w:themeFill="text1" w:themeFillTint="D9"/>
            <w:vAlign w:val="center"/>
          </w:tcPr>
          <w:p w14:paraId="6AA9FC94" w14:textId="77777777" w:rsidR="00B30748" w:rsidRPr="00F51763" w:rsidRDefault="00B30748" w:rsidP="00103246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641" w:type="dxa"/>
            <w:shd w:val="clear" w:color="auto" w:fill="262626" w:themeFill="text1" w:themeFillTint="D9"/>
            <w:vAlign w:val="center"/>
          </w:tcPr>
          <w:p w14:paraId="164BA2BE" w14:textId="77777777" w:rsidR="00B30748" w:rsidRPr="00F51763" w:rsidRDefault="00B30748" w:rsidP="00103246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4E48D2" w:rsidRPr="00F51763" w14:paraId="4FB3F6F9" w14:textId="77777777" w:rsidTr="004E48D2">
        <w:trPr>
          <w:trHeight w:val="795"/>
        </w:trPr>
        <w:tc>
          <w:tcPr>
            <w:tcW w:w="1311" w:type="dxa"/>
            <w:vAlign w:val="center"/>
          </w:tcPr>
          <w:p w14:paraId="4E596E7D" w14:textId="77777777" w:rsidR="00B30748" w:rsidRPr="00F51763" w:rsidRDefault="00B30748" w:rsidP="0010324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t>Análisis</w:t>
            </w:r>
          </w:p>
        </w:tc>
        <w:tc>
          <w:tcPr>
            <w:tcW w:w="1618" w:type="dxa"/>
            <w:vAlign w:val="center"/>
          </w:tcPr>
          <w:p w14:paraId="57F07EA9" w14:textId="237C0174" w:rsidR="00B30748" w:rsidRPr="00BC14B6" w:rsidRDefault="00211665" w:rsidP="00103246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211665">
              <w:rPr>
                <w:rFonts w:ascii="Arial" w:eastAsia="Times New Roman" w:hAnsi="Arial" w:cs="Arial"/>
                <w:color w:val="131314"/>
              </w:rPr>
              <w:t>Lluvia de ideas, debate guiado, aprendizaje colaborativo.</w:t>
            </w:r>
          </w:p>
        </w:tc>
        <w:tc>
          <w:tcPr>
            <w:tcW w:w="1863" w:type="dxa"/>
            <w:vAlign w:val="center"/>
          </w:tcPr>
          <w:p w14:paraId="4037FDA6" w14:textId="7A7A176E" w:rsidR="00B30748" w:rsidRPr="00242756" w:rsidRDefault="00242756" w:rsidP="00103246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242756">
              <w:t xml:space="preserve">Foro o debate </w:t>
            </w:r>
          </w:p>
        </w:tc>
        <w:tc>
          <w:tcPr>
            <w:tcW w:w="1568" w:type="dxa"/>
            <w:vAlign w:val="center"/>
          </w:tcPr>
          <w:p w14:paraId="3F0AA47E" w14:textId="6075645D" w:rsidR="00B30748" w:rsidRPr="00870CEE" w:rsidRDefault="00211665" w:rsidP="00103246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516756">
              <w:t>Mapa conceptual y relatoría grupal.</w:t>
            </w:r>
          </w:p>
        </w:tc>
        <w:tc>
          <w:tcPr>
            <w:tcW w:w="1628" w:type="dxa"/>
            <w:vAlign w:val="center"/>
          </w:tcPr>
          <w:p w14:paraId="165551CA" w14:textId="77777777" w:rsidR="00B30748" w:rsidRPr="00F51763" w:rsidRDefault="00B30748" w:rsidP="0010324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t>Análisis crítico y reflexión sobre caso</w:t>
            </w:r>
          </w:p>
        </w:tc>
        <w:tc>
          <w:tcPr>
            <w:tcW w:w="1641" w:type="dxa"/>
            <w:vAlign w:val="center"/>
          </w:tcPr>
          <w:p w14:paraId="622F67F4" w14:textId="508CB4B0" w:rsidR="00B30748" w:rsidRPr="00F51763" w:rsidRDefault="00B30748" w:rsidP="00103246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t xml:space="preserve"> Rúbrica</w:t>
            </w:r>
          </w:p>
        </w:tc>
      </w:tr>
      <w:tr w:rsidR="004E48D2" w:rsidRPr="00F51763" w14:paraId="6370961F" w14:textId="77777777" w:rsidTr="004E48D2">
        <w:trPr>
          <w:trHeight w:val="795"/>
        </w:trPr>
        <w:tc>
          <w:tcPr>
            <w:tcW w:w="1311" w:type="dxa"/>
            <w:vAlign w:val="center"/>
          </w:tcPr>
          <w:p w14:paraId="4616878C" w14:textId="77777777" w:rsidR="00B30748" w:rsidRPr="00F51763" w:rsidRDefault="00B30748" w:rsidP="0010324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t>Análisis</w:t>
            </w:r>
          </w:p>
        </w:tc>
        <w:tc>
          <w:tcPr>
            <w:tcW w:w="1618" w:type="dxa"/>
            <w:vAlign w:val="center"/>
          </w:tcPr>
          <w:p w14:paraId="695ADE93" w14:textId="6A02D05B" w:rsidR="00B30748" w:rsidRPr="00F51763" w:rsidRDefault="00356A68" w:rsidP="0010324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AE2265">
              <w:rPr>
                <w:rFonts w:ascii="Arial" w:eastAsia="Times New Roman" w:hAnsi="Arial" w:cs="Arial"/>
                <w:color w:val="131314"/>
                <w:lang w:val="es-ES"/>
              </w:rPr>
              <w:t xml:space="preserve">Identificación de los </w:t>
            </w:r>
            <w:r w:rsidRPr="00AE2265">
              <w:rPr>
                <w:rFonts w:ascii="Arial" w:eastAsia="Times New Roman" w:hAnsi="Arial" w:cs="Arial"/>
                <w:b/>
                <w:bCs/>
                <w:color w:val="131314"/>
                <w:lang w:val="es-ES"/>
              </w:rPr>
              <w:t>impactos ambientales positivos</w:t>
            </w:r>
          </w:p>
        </w:tc>
        <w:tc>
          <w:tcPr>
            <w:tcW w:w="1863" w:type="dxa"/>
            <w:vAlign w:val="center"/>
          </w:tcPr>
          <w:p w14:paraId="5E1989A3" w14:textId="4F546CDE" w:rsidR="00B30748" w:rsidRPr="00242756" w:rsidRDefault="00211665" w:rsidP="00103246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516756">
              <w:t xml:space="preserve">Estudio de caso, trabajo en grupos, </w:t>
            </w:r>
            <w:proofErr w:type="spellStart"/>
            <w:r w:rsidRPr="00516756">
              <w:t>ABP</w:t>
            </w:r>
            <w:proofErr w:type="spellEnd"/>
            <w:r w:rsidRPr="00516756">
              <w:t xml:space="preserve"> (aprendizaje basado en problemas).</w:t>
            </w:r>
          </w:p>
        </w:tc>
        <w:tc>
          <w:tcPr>
            <w:tcW w:w="1568" w:type="dxa"/>
            <w:vAlign w:val="center"/>
          </w:tcPr>
          <w:p w14:paraId="14C2230F" w14:textId="149F9A6B" w:rsidR="00B30748" w:rsidRPr="00F51763" w:rsidRDefault="007C1DAF" w:rsidP="0010324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242756">
              <w:rPr>
                <w:rFonts w:cs="Calibri"/>
                <w:sz w:val="24"/>
                <w:szCs w:val="24"/>
              </w:rPr>
              <w:t xml:space="preserve">Mapa conceptual </w:t>
            </w:r>
            <w:r w:rsidR="00870CEE">
              <w:rPr>
                <w:rFonts w:cs="Calibri"/>
                <w:sz w:val="24"/>
                <w:szCs w:val="24"/>
              </w:rPr>
              <w:t xml:space="preserve">- </w:t>
            </w:r>
            <w:proofErr w:type="spellStart"/>
            <w:r w:rsidR="00870CEE">
              <w:rPr>
                <w:rFonts w:cs="Calibri"/>
                <w:sz w:val="24"/>
                <w:szCs w:val="24"/>
              </w:rPr>
              <w:t>canva</w:t>
            </w:r>
            <w:proofErr w:type="spellEnd"/>
          </w:p>
        </w:tc>
        <w:tc>
          <w:tcPr>
            <w:tcW w:w="1628" w:type="dxa"/>
            <w:vAlign w:val="center"/>
          </w:tcPr>
          <w:p w14:paraId="76C7BF0D" w14:textId="77777777" w:rsidR="00B30748" w:rsidRPr="00F51763" w:rsidRDefault="00B30748" w:rsidP="0010324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t>Generación ≥18 ideas, claridad y viabilidad de la idea seleccionada</w:t>
            </w:r>
          </w:p>
        </w:tc>
        <w:tc>
          <w:tcPr>
            <w:tcW w:w="1641" w:type="dxa"/>
            <w:vAlign w:val="center"/>
          </w:tcPr>
          <w:p w14:paraId="67F9564C" w14:textId="77777777" w:rsidR="00B30748" w:rsidRPr="00F51763" w:rsidRDefault="00B30748" w:rsidP="00103246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t>Lista de chequeo, observación</w:t>
            </w:r>
          </w:p>
        </w:tc>
      </w:tr>
      <w:tr w:rsidR="004E48D2" w:rsidRPr="00F51763" w14:paraId="45301AD5" w14:textId="77777777" w:rsidTr="004E48D2">
        <w:trPr>
          <w:trHeight w:val="795"/>
        </w:trPr>
        <w:tc>
          <w:tcPr>
            <w:tcW w:w="1311" w:type="dxa"/>
            <w:vAlign w:val="center"/>
          </w:tcPr>
          <w:p w14:paraId="713C0E68" w14:textId="77777777" w:rsidR="00B30748" w:rsidRPr="00F51763" w:rsidRDefault="00B30748" w:rsidP="0010324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t>Análisis</w:t>
            </w:r>
          </w:p>
        </w:tc>
        <w:tc>
          <w:tcPr>
            <w:tcW w:w="1618" w:type="dxa"/>
            <w:vAlign w:val="center"/>
          </w:tcPr>
          <w:p w14:paraId="2801A23F" w14:textId="2F159856" w:rsidR="00B30748" w:rsidRPr="00F51763" w:rsidRDefault="0059094F" w:rsidP="0010324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AE2265">
              <w:rPr>
                <w:rFonts w:ascii="Arial" w:eastAsia="Times New Roman" w:hAnsi="Arial" w:cs="Arial"/>
                <w:color w:val="131314"/>
                <w:lang w:val="es-ES"/>
              </w:rPr>
              <w:t>estructuracion</w:t>
            </w:r>
            <w:proofErr w:type="spellEnd"/>
            <w:r w:rsidRPr="00AE2265">
              <w:rPr>
                <w:rFonts w:ascii="Arial" w:eastAsia="Times New Roman" w:hAnsi="Arial" w:cs="Arial"/>
                <w:color w:val="131314"/>
                <w:lang w:val="es-ES"/>
              </w:rPr>
              <w:t xml:space="preserve"> de modelos de negocio verdes</w:t>
            </w:r>
          </w:p>
        </w:tc>
        <w:tc>
          <w:tcPr>
            <w:tcW w:w="1863" w:type="dxa"/>
            <w:vAlign w:val="center"/>
          </w:tcPr>
          <w:p w14:paraId="61BA051B" w14:textId="6E03CDE9" w:rsidR="00B30748" w:rsidRPr="00242756" w:rsidRDefault="00870CEE" w:rsidP="00103246">
            <w:pPr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Aplicar una presentación del </w:t>
            </w:r>
            <w:proofErr w:type="spellStart"/>
            <w:r>
              <w:rPr>
                <w:rFonts w:cs="Calibri"/>
                <w:sz w:val="24"/>
                <w:szCs w:val="24"/>
              </w:rPr>
              <w:t>emprendiiento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verde</w:t>
            </w:r>
          </w:p>
        </w:tc>
        <w:tc>
          <w:tcPr>
            <w:tcW w:w="1568" w:type="dxa"/>
            <w:vAlign w:val="center"/>
          </w:tcPr>
          <w:p w14:paraId="3862BBD2" w14:textId="58F4C31D" w:rsidR="00B30748" w:rsidRPr="00870CEE" w:rsidRDefault="0095535B" w:rsidP="00103246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516756">
              <w:t xml:space="preserve">Documento del modelo de negocio verde con propuesta de valor y plan </w:t>
            </w:r>
            <w:r w:rsidRPr="00516756">
              <w:lastRenderedPageBreak/>
              <w:t>básico de mercado.</w:t>
            </w:r>
          </w:p>
        </w:tc>
        <w:tc>
          <w:tcPr>
            <w:tcW w:w="1628" w:type="dxa"/>
            <w:vAlign w:val="center"/>
          </w:tcPr>
          <w:p w14:paraId="3ECC270E" w14:textId="77777777" w:rsidR="00B30748" w:rsidRPr="00F51763" w:rsidRDefault="00B30748" w:rsidP="0010324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lastRenderedPageBreak/>
              <w:t xml:space="preserve">Claridad técnica, creatividad y aplicación de </w:t>
            </w:r>
            <w:r>
              <w:lastRenderedPageBreak/>
              <w:t>normas de dibujo</w:t>
            </w:r>
          </w:p>
        </w:tc>
        <w:tc>
          <w:tcPr>
            <w:tcW w:w="1641" w:type="dxa"/>
            <w:vAlign w:val="center"/>
          </w:tcPr>
          <w:p w14:paraId="39030DAB" w14:textId="77777777" w:rsidR="00B30748" w:rsidRPr="00F51763" w:rsidRDefault="00B30748" w:rsidP="00103246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lastRenderedPageBreak/>
              <w:t>Lista de chequeo, rúbrica, observación</w:t>
            </w:r>
          </w:p>
        </w:tc>
      </w:tr>
      <w:tr w:rsidR="004E48D2" w:rsidRPr="00F51763" w14:paraId="5DE6C458" w14:textId="77777777" w:rsidTr="004E48D2">
        <w:trPr>
          <w:trHeight w:val="795"/>
        </w:trPr>
        <w:tc>
          <w:tcPr>
            <w:tcW w:w="1311" w:type="dxa"/>
            <w:vAlign w:val="center"/>
          </w:tcPr>
          <w:p w14:paraId="618242AE" w14:textId="77777777" w:rsidR="00B30748" w:rsidRPr="00F51763" w:rsidRDefault="00B30748" w:rsidP="0010324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t>Análisis</w:t>
            </w:r>
          </w:p>
        </w:tc>
        <w:tc>
          <w:tcPr>
            <w:tcW w:w="1618" w:type="dxa"/>
            <w:vAlign w:val="center"/>
          </w:tcPr>
          <w:p w14:paraId="5D44FD3A" w14:textId="7D45A241" w:rsidR="00B30748" w:rsidRPr="0059094F" w:rsidRDefault="0059094F" w:rsidP="00103246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59094F">
              <w:rPr>
                <w:rFonts w:ascii="Arial" w:eastAsia="Times New Roman" w:hAnsi="Arial" w:cs="Arial"/>
                <w:color w:val="131314"/>
                <w:lang w:val="es-ES"/>
              </w:rPr>
              <w:t>Herramienta de Verificación de Negocios Verdes (Ficha)</w:t>
            </w:r>
          </w:p>
        </w:tc>
        <w:tc>
          <w:tcPr>
            <w:tcW w:w="1863" w:type="dxa"/>
            <w:vAlign w:val="center"/>
          </w:tcPr>
          <w:p w14:paraId="3AB3891D" w14:textId="7665721B" w:rsidR="00B30748" w:rsidRPr="00F51763" w:rsidRDefault="007C1DAF" w:rsidP="0010324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t>Aplicación de la ficha de verificación del MADS</w:t>
            </w:r>
          </w:p>
        </w:tc>
        <w:tc>
          <w:tcPr>
            <w:tcW w:w="1568" w:type="dxa"/>
            <w:vAlign w:val="center"/>
          </w:tcPr>
          <w:p w14:paraId="149FFEB8" w14:textId="5748B7EA" w:rsidR="00B30748" w:rsidRPr="00F51763" w:rsidRDefault="00B2170F" w:rsidP="0010324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16756">
              <w:t>Documento final del modelo de negocio verde + presentación del pitch.</w:t>
            </w:r>
          </w:p>
        </w:tc>
        <w:tc>
          <w:tcPr>
            <w:tcW w:w="1628" w:type="dxa"/>
            <w:vAlign w:val="center"/>
          </w:tcPr>
          <w:p w14:paraId="58FBA2DF" w14:textId="73F0DC59" w:rsidR="00B30748" w:rsidRPr="00F51763" w:rsidRDefault="00B30748" w:rsidP="0010324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t>Estructura lógica, argumentación</w:t>
            </w:r>
          </w:p>
        </w:tc>
        <w:tc>
          <w:tcPr>
            <w:tcW w:w="1641" w:type="dxa"/>
            <w:vAlign w:val="center"/>
          </w:tcPr>
          <w:p w14:paraId="48A43089" w14:textId="77777777" w:rsidR="00B30748" w:rsidRPr="00F51763" w:rsidRDefault="00B30748" w:rsidP="00103246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t>Rúbrica analítica, lista de chequeo</w:t>
            </w: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14:paraId="0CCB4776" w14:textId="0C1B060A" w:rsidR="00F51763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14:paraId="53D622FF" w14:textId="77777777" w:rsidR="00EB67A9" w:rsidRDefault="00EB67A9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62285AA4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Agenda 2030 de Objetivos de Desarrollo Sostenible (ONU):</w:t>
      </w:r>
      <w:r w:rsidRPr="00EB67A9">
        <w:rPr>
          <w:rFonts w:cs="Calibri"/>
          <w:color w:val="000000" w:themeColor="text1"/>
        </w:rPr>
        <w:t xml:space="preserve"> Un plan de acción global para la paz, las personas, el planeta, la prosperidad y las alianzas, que incluye 17 objetivos a alcanzar para el año 2030.</w:t>
      </w:r>
    </w:p>
    <w:p w14:paraId="0B99144B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Aliados Estratégicos:</w:t>
      </w:r>
      <w:r w:rsidRPr="00EB67A9">
        <w:rPr>
          <w:rFonts w:cs="Calibri"/>
          <w:color w:val="000000" w:themeColor="text1"/>
        </w:rPr>
        <w:t xml:space="preserve"> Organizaciones o entidades que colaboran con las Autoridades Ambientales en el proceso de verificación de negocios verdes.</w:t>
      </w:r>
    </w:p>
    <w:p w14:paraId="0AAC2A03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Aprovechamiento y Valorización de Residuos:</w:t>
      </w:r>
      <w:r w:rsidRPr="00EB67A9">
        <w:rPr>
          <w:rFonts w:cs="Calibri"/>
          <w:color w:val="000000" w:themeColor="text1"/>
        </w:rPr>
        <w:t xml:space="preserve"> Negocios que reincorporan subproductos o productos al ciclo económico y productivo mediante el procesamiento de residuos para su reutilización, reciclaje, compostaje, o valorización energética.</w:t>
      </w:r>
    </w:p>
    <w:p w14:paraId="09D46160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Autoridad Ambiental (AA):</w:t>
      </w:r>
      <w:r w:rsidRPr="00EB67A9">
        <w:rPr>
          <w:rFonts w:cs="Calibri"/>
          <w:color w:val="000000" w:themeColor="text1"/>
        </w:rPr>
        <w:t xml:space="preserve"> Entidades responsables de liderar, coordinar y articular la implementación del Programa Regional de Negocios Verdes en su jurisdicción, así como de la verificación de negocios.</w:t>
      </w:r>
    </w:p>
    <w:p w14:paraId="33A860C4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Aval de Confianza:</w:t>
      </w:r>
      <w:r w:rsidRPr="00EB67A9">
        <w:rPr>
          <w:rFonts w:cs="Calibri"/>
          <w:color w:val="000000" w:themeColor="text1"/>
        </w:rPr>
        <w:t xml:space="preserve"> Un respaldo emitido por la autoridad ambiental a empresarios que cumplen los requisitos mínimos y un avance superior al 51% en los criterios de negocios verdes.</w:t>
      </w:r>
    </w:p>
    <w:p w14:paraId="5D94FE37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Bienes y Servicios Sostenibles Provenientes de los Recursos Naturales</w:t>
      </w:r>
      <w:r w:rsidRPr="00EB67A9">
        <w:rPr>
          <w:rFonts w:cs="Calibri"/>
          <w:color w:val="000000" w:themeColor="text1"/>
        </w:rPr>
        <w:t>: Aquellos que, en su aprovechamiento, producción, manejo, transformación, comercialización o disposición, incorporan mejores prácticas ambientales para garantizar la conservación y sostenibilidad del recurso.</w:t>
      </w:r>
    </w:p>
    <w:p w14:paraId="1040A7B0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Cadena de Valor</w:t>
      </w:r>
      <w:r w:rsidRPr="00EB67A9">
        <w:rPr>
          <w:rFonts w:cs="Calibri"/>
          <w:color w:val="000000" w:themeColor="text1"/>
        </w:rPr>
        <w:t>: El conjunto de actividades realizadas por una empresa para crear valor para sus clientes, incluyendo diseño, producción, marketing, entrega y soporte. En este contexto, se refiere al fortalecimiento de actores para la implementación de buenas prácticas sostenibles.</w:t>
      </w:r>
    </w:p>
    <w:p w14:paraId="1B6DB307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Categorías de Negocios Verdes</w:t>
      </w:r>
      <w:r w:rsidRPr="00EB67A9">
        <w:rPr>
          <w:rFonts w:cs="Calibri"/>
          <w:color w:val="000000" w:themeColor="text1"/>
        </w:rPr>
        <w:t xml:space="preserve">: Clasificación de los negocios verdes que incluye </w:t>
      </w:r>
      <w:proofErr w:type="spellStart"/>
      <w:r w:rsidRPr="00EB67A9">
        <w:rPr>
          <w:rFonts w:cs="Calibri"/>
          <w:color w:val="000000" w:themeColor="text1"/>
        </w:rPr>
        <w:t>Bioproductos</w:t>
      </w:r>
      <w:proofErr w:type="spellEnd"/>
      <w:r w:rsidRPr="00EB67A9">
        <w:rPr>
          <w:rFonts w:cs="Calibri"/>
          <w:color w:val="000000" w:themeColor="text1"/>
        </w:rPr>
        <w:t xml:space="preserve"> y servicios sostenibles, </w:t>
      </w:r>
      <w:proofErr w:type="spellStart"/>
      <w:r w:rsidRPr="00EB67A9">
        <w:rPr>
          <w:rFonts w:cs="Calibri"/>
          <w:color w:val="000000" w:themeColor="text1"/>
        </w:rPr>
        <w:t>Ecoproductos</w:t>
      </w:r>
      <w:proofErr w:type="spellEnd"/>
      <w:r w:rsidRPr="00EB67A9">
        <w:rPr>
          <w:rFonts w:cs="Calibri"/>
          <w:color w:val="000000" w:themeColor="text1"/>
        </w:rPr>
        <w:t xml:space="preserve"> industriales y Productos por la calidad ambiental.</w:t>
      </w:r>
    </w:p>
    <w:p w14:paraId="5A79CDD6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proofErr w:type="spellStart"/>
      <w:r w:rsidRPr="00EB67A9">
        <w:rPr>
          <w:rFonts w:cs="Calibri"/>
          <w:b/>
          <w:bCs/>
          <w:color w:val="000000" w:themeColor="text1"/>
        </w:rPr>
        <w:lastRenderedPageBreak/>
        <w:t>CIIU</w:t>
      </w:r>
      <w:proofErr w:type="spellEnd"/>
      <w:r w:rsidRPr="00EB67A9">
        <w:rPr>
          <w:rFonts w:cs="Calibri"/>
          <w:b/>
          <w:bCs/>
          <w:color w:val="000000" w:themeColor="text1"/>
        </w:rPr>
        <w:t xml:space="preserve"> (Clasificación Industrial Internacional Uniforme):</w:t>
      </w:r>
      <w:r w:rsidRPr="00EB67A9">
        <w:rPr>
          <w:rFonts w:cs="Calibri"/>
          <w:color w:val="000000" w:themeColor="text1"/>
        </w:rPr>
        <w:t xml:space="preserve"> Un sistema de clasificación de actividades económicas.</w:t>
      </w:r>
    </w:p>
    <w:p w14:paraId="0DDA70B9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Comercio Inclusivo:</w:t>
      </w:r>
      <w:r w:rsidRPr="00EB67A9">
        <w:rPr>
          <w:rFonts w:cs="Calibri"/>
          <w:color w:val="000000" w:themeColor="text1"/>
        </w:rPr>
        <w:t xml:space="preserve"> Estrategias y prácticas comerciales que buscan incorporar a poblaciones vulnerables o de enfoque diferencial en las cadenas de valor.</w:t>
      </w:r>
    </w:p>
    <w:p w14:paraId="102324DA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 xml:space="preserve">Componente Avanzado (Criterios de </w:t>
      </w:r>
      <w:proofErr w:type="spellStart"/>
      <w:r w:rsidRPr="00EB67A9">
        <w:rPr>
          <w:rFonts w:cs="Calibri"/>
          <w:b/>
          <w:bCs/>
          <w:color w:val="000000" w:themeColor="text1"/>
        </w:rPr>
        <w:t>NV</w:t>
      </w:r>
      <w:proofErr w:type="spellEnd"/>
      <w:r w:rsidRPr="00EB67A9">
        <w:rPr>
          <w:rFonts w:cs="Calibri"/>
          <w:color w:val="000000" w:themeColor="text1"/>
        </w:rPr>
        <w:t>): Agrupa los criterios de Comunicación de atributos sociales o ambientales y Esquemas, programas o reconocimientos ambientales o sociales implementados o recibidos.</w:t>
      </w:r>
    </w:p>
    <w:p w14:paraId="2F498927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 xml:space="preserve">Componente Ambiental (Criterios de </w:t>
      </w:r>
      <w:proofErr w:type="spellStart"/>
      <w:r w:rsidRPr="00EB67A9">
        <w:rPr>
          <w:rFonts w:cs="Calibri"/>
          <w:b/>
          <w:bCs/>
          <w:color w:val="000000" w:themeColor="text1"/>
        </w:rPr>
        <w:t>NV</w:t>
      </w:r>
      <w:proofErr w:type="spellEnd"/>
      <w:r w:rsidRPr="00EB67A9">
        <w:rPr>
          <w:rFonts w:cs="Calibri"/>
          <w:b/>
          <w:bCs/>
          <w:color w:val="000000" w:themeColor="text1"/>
        </w:rPr>
        <w:t>):</w:t>
      </w:r>
      <w:r w:rsidRPr="00EB67A9">
        <w:rPr>
          <w:rFonts w:cs="Calibri"/>
          <w:color w:val="000000" w:themeColor="text1"/>
        </w:rPr>
        <w:t xml:space="preserve"> Agrupa criterios como Impacto ambiental positivo, Enfoque de ciclo de vida, Vida útil, No uso de sustancias o materiales peligrosos, Reciclabilidad de materiales y Uso eficiente y sostenible de recursos.</w:t>
      </w:r>
    </w:p>
    <w:p w14:paraId="331F5B5C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 xml:space="preserve">Componente Económico (Criterios de </w:t>
      </w:r>
      <w:proofErr w:type="spellStart"/>
      <w:r w:rsidRPr="00EB67A9">
        <w:rPr>
          <w:rFonts w:cs="Calibri"/>
          <w:b/>
          <w:bCs/>
          <w:color w:val="000000" w:themeColor="text1"/>
        </w:rPr>
        <w:t>NV</w:t>
      </w:r>
      <w:proofErr w:type="spellEnd"/>
      <w:r w:rsidRPr="00EB67A9">
        <w:rPr>
          <w:rFonts w:cs="Calibri"/>
          <w:b/>
          <w:bCs/>
          <w:color w:val="000000" w:themeColor="text1"/>
        </w:rPr>
        <w:t>):</w:t>
      </w:r>
      <w:r w:rsidRPr="00EB67A9">
        <w:rPr>
          <w:rFonts w:cs="Calibri"/>
          <w:color w:val="000000" w:themeColor="text1"/>
        </w:rPr>
        <w:t xml:space="preserve"> Lo compone el criterio de Viabilidad económica del negocio.</w:t>
      </w:r>
    </w:p>
    <w:p w14:paraId="5500A91E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 xml:space="preserve">Componente Social (Criterios de </w:t>
      </w:r>
      <w:proofErr w:type="spellStart"/>
      <w:r w:rsidRPr="00EB67A9">
        <w:rPr>
          <w:rFonts w:cs="Calibri"/>
          <w:b/>
          <w:bCs/>
          <w:color w:val="000000" w:themeColor="text1"/>
        </w:rPr>
        <w:t>NV</w:t>
      </w:r>
      <w:proofErr w:type="spellEnd"/>
      <w:r w:rsidRPr="00EB67A9">
        <w:rPr>
          <w:rFonts w:cs="Calibri"/>
          <w:b/>
          <w:bCs/>
          <w:color w:val="000000" w:themeColor="text1"/>
        </w:rPr>
        <w:t>):</w:t>
      </w:r>
      <w:r w:rsidRPr="00EB67A9">
        <w:rPr>
          <w:rFonts w:cs="Calibri"/>
          <w:color w:val="000000" w:themeColor="text1"/>
        </w:rPr>
        <w:t xml:space="preserve"> Agrupa criterios como Responsabilidad social al interior de la empresa, en la cadena de valor y al exterior de la empresa.</w:t>
      </w:r>
    </w:p>
    <w:p w14:paraId="1564D5CB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color w:val="000000" w:themeColor="text1"/>
        </w:rPr>
        <w:t>CONPES 3934 (Política de Crecimiento Verde): Documento de política pública en Colombia que establece los lineamientos para el crecimiento económico sostenible.</w:t>
      </w:r>
    </w:p>
    <w:p w14:paraId="62A64DF1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proofErr w:type="spellStart"/>
      <w:r w:rsidRPr="00EB67A9">
        <w:rPr>
          <w:rFonts w:cs="Calibri"/>
          <w:b/>
          <w:bCs/>
          <w:color w:val="000000" w:themeColor="text1"/>
        </w:rPr>
        <w:t>Ecoproductos</w:t>
      </w:r>
      <w:proofErr w:type="spellEnd"/>
      <w:r w:rsidRPr="00EB67A9">
        <w:rPr>
          <w:rFonts w:cs="Calibri"/>
          <w:b/>
          <w:bCs/>
          <w:color w:val="000000" w:themeColor="text1"/>
        </w:rPr>
        <w:t xml:space="preserve"> Industriales:</w:t>
      </w:r>
      <w:r w:rsidRPr="00EB67A9">
        <w:rPr>
          <w:rFonts w:cs="Calibri"/>
          <w:color w:val="000000" w:themeColor="text1"/>
        </w:rPr>
        <w:t xml:space="preserve"> Bienes y servicios que demuestran ser menos contaminantes en su proceso productivo, son ecoeficientes y aprovechan ciclos extendidos de materiales.</w:t>
      </w:r>
    </w:p>
    <w:p w14:paraId="228B8034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Ministerio de Ambiente y Desarrollo Sostenible (MADS):</w:t>
      </w:r>
      <w:r w:rsidRPr="00EB67A9">
        <w:rPr>
          <w:rFonts w:cs="Calibri"/>
          <w:color w:val="000000" w:themeColor="text1"/>
        </w:rPr>
        <w:t xml:space="preserve"> La entidad gubernamental de Colombia encargada de la política ambiental y el desarrollo sostenible.</w:t>
      </w:r>
    </w:p>
    <w:p w14:paraId="5CC1FFDD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Modelos de Negocios Verdes:</w:t>
      </w:r>
      <w:r w:rsidRPr="00EB67A9">
        <w:rPr>
          <w:rFonts w:cs="Calibri"/>
          <w:color w:val="000000" w:themeColor="text1"/>
        </w:rPr>
        <w:t xml:space="preserve"> Actividades económicas que ofrecen bienes y servicios con enfoque ecosistémico y de ciclo de vida, generando impactos sociales y ambientales positivos.</w:t>
      </w:r>
    </w:p>
    <w:p w14:paraId="1981AB3D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Negocios Verdes Verificados:</w:t>
      </w:r>
      <w:r w:rsidRPr="00EB67A9">
        <w:rPr>
          <w:rFonts w:cs="Calibri"/>
          <w:color w:val="000000" w:themeColor="text1"/>
        </w:rPr>
        <w:t xml:space="preserve"> Negocios formalizados con historial de ventas que cumplen con la normativa ambiental y los criterios de negocios verdes, generando impactos sociales y ambientales positivos.</w:t>
      </w:r>
    </w:p>
    <w:p w14:paraId="1E92F07F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Oficina de Negocios Verdes y Sostenibles (</w:t>
      </w:r>
      <w:proofErr w:type="spellStart"/>
      <w:r w:rsidRPr="00EB67A9">
        <w:rPr>
          <w:rFonts w:cs="Calibri"/>
          <w:b/>
          <w:bCs/>
          <w:color w:val="000000" w:themeColor="text1"/>
        </w:rPr>
        <w:t>ONVS</w:t>
      </w:r>
      <w:proofErr w:type="spellEnd"/>
      <w:r w:rsidRPr="00EB67A9">
        <w:rPr>
          <w:rFonts w:cs="Calibri"/>
          <w:b/>
          <w:bCs/>
          <w:color w:val="000000" w:themeColor="text1"/>
        </w:rPr>
        <w:t xml:space="preserve">): </w:t>
      </w:r>
      <w:r w:rsidRPr="00EB67A9">
        <w:rPr>
          <w:rFonts w:cs="Calibri"/>
          <w:color w:val="000000" w:themeColor="text1"/>
        </w:rPr>
        <w:t>Entidad dentro del MADS que administra la información y establece los lineamientos para la verificación de negocios verdes.</w:t>
      </w:r>
    </w:p>
    <w:p w14:paraId="0620E77F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Plan Nacional de Negocios Verdes (</w:t>
      </w:r>
      <w:proofErr w:type="spellStart"/>
      <w:r w:rsidRPr="00EB67A9">
        <w:rPr>
          <w:rFonts w:cs="Calibri"/>
          <w:b/>
          <w:bCs/>
          <w:color w:val="000000" w:themeColor="text1"/>
        </w:rPr>
        <w:t>PNNV</w:t>
      </w:r>
      <w:proofErr w:type="spellEnd"/>
      <w:r w:rsidRPr="00EB67A9">
        <w:rPr>
          <w:rFonts w:cs="Calibri"/>
          <w:b/>
          <w:bCs/>
          <w:color w:val="000000" w:themeColor="text1"/>
        </w:rPr>
        <w:t>):</w:t>
      </w:r>
      <w:r w:rsidRPr="00EB67A9">
        <w:rPr>
          <w:rFonts w:cs="Calibri"/>
          <w:color w:val="000000" w:themeColor="text1"/>
        </w:rPr>
        <w:t xml:space="preserve"> La hoja de ruta establecida por el MADS para posicionar bienes y servicios verdes en Colombia.</w:t>
      </w:r>
    </w:p>
    <w:p w14:paraId="567DAD62" w14:textId="77777777" w:rsidR="00EB67A9" w:rsidRPr="00EB67A9" w:rsidRDefault="00EB67A9" w:rsidP="00EB67A9">
      <w:pPr>
        <w:numPr>
          <w:ilvl w:val="0"/>
          <w:numId w:val="31"/>
        </w:numPr>
        <w:tabs>
          <w:tab w:val="num" w:pos="720"/>
          <w:tab w:val="left" w:pos="1470"/>
        </w:tabs>
        <w:spacing w:after="0" w:line="360" w:lineRule="auto"/>
        <w:jc w:val="both"/>
        <w:rPr>
          <w:rFonts w:cs="Calibri"/>
          <w:color w:val="000000" w:themeColor="text1"/>
        </w:rPr>
      </w:pPr>
      <w:r w:rsidRPr="00EB67A9">
        <w:rPr>
          <w:rFonts w:cs="Calibri"/>
          <w:b/>
          <w:bCs/>
          <w:color w:val="000000" w:themeColor="text1"/>
        </w:rPr>
        <w:t>Ventanilla de Negocios Verdes</w:t>
      </w:r>
      <w:r w:rsidRPr="00EB67A9">
        <w:rPr>
          <w:rFonts w:cs="Calibri"/>
          <w:color w:val="000000" w:themeColor="text1"/>
        </w:rPr>
        <w:t>: Grupo técnico dentro de las Autoridades Ambientales encargado de la operación y coordinación del procedimiento de verificación de negocios verdes a nivel regional.</w:t>
      </w:r>
    </w:p>
    <w:p w14:paraId="59241D8B" w14:textId="77777777" w:rsidR="00EB67A9" w:rsidRPr="009448E8" w:rsidRDefault="00EB67A9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6D812BFE" w14:textId="60F798CC" w:rsidR="00B53D0D" w:rsidRPr="00F51763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37611D36" w14:textId="1D2305D5" w:rsidR="00F51763" w:rsidRDefault="00B53D0D" w:rsidP="00033399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F51763">
        <w:rPr>
          <w:rFonts w:cs="Calibri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F51763">
        <w:rPr>
          <w:rFonts w:cs="Calibri"/>
          <w:sz w:val="24"/>
          <w:szCs w:val="24"/>
        </w:rPr>
        <w:t>. (</w:t>
      </w:r>
      <w:r w:rsidR="00E413A0" w:rsidRPr="00F51763">
        <w:rPr>
          <w:rFonts w:cs="Calibri"/>
          <w:b/>
          <w:bCs/>
          <w:sz w:val="23"/>
          <w:szCs w:val="23"/>
        </w:rPr>
        <w:t>BIBLIOGRAFÍA / WEBGRAFÍA).</w:t>
      </w:r>
    </w:p>
    <w:p w14:paraId="4DE0A273" w14:textId="77777777" w:rsidR="00A608A0" w:rsidRPr="00A608A0" w:rsidRDefault="00A608A0" w:rsidP="00A608A0">
      <w:pPr>
        <w:numPr>
          <w:ilvl w:val="0"/>
          <w:numId w:val="32"/>
        </w:numPr>
        <w:spacing w:after="0" w:line="240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A608A0">
        <w:rPr>
          <w:rFonts w:ascii="Arial" w:hAnsi="Arial" w:cs="Arial"/>
          <w:bCs/>
          <w:sz w:val="24"/>
          <w:szCs w:val="24"/>
        </w:rPr>
        <w:t>MinAmbiente</w:t>
      </w:r>
      <w:proofErr w:type="spellEnd"/>
      <w:r w:rsidRPr="00A608A0">
        <w:rPr>
          <w:rFonts w:ascii="Arial" w:hAnsi="Arial" w:cs="Arial"/>
          <w:bCs/>
          <w:sz w:val="24"/>
          <w:szCs w:val="24"/>
        </w:rPr>
        <w:t xml:space="preserve"> (2024). </w:t>
      </w:r>
      <w:r w:rsidRPr="00A608A0">
        <w:rPr>
          <w:rFonts w:ascii="Arial" w:hAnsi="Arial" w:cs="Arial"/>
          <w:bCs/>
          <w:i/>
          <w:iCs/>
          <w:sz w:val="24"/>
          <w:szCs w:val="24"/>
        </w:rPr>
        <w:t>Guía para la inscripción, caracterización y verificación de negocios verdes</w:t>
      </w:r>
      <w:r w:rsidRPr="00A608A0">
        <w:rPr>
          <w:rFonts w:ascii="Arial" w:hAnsi="Arial" w:cs="Arial"/>
          <w:bCs/>
          <w:sz w:val="24"/>
          <w:szCs w:val="24"/>
        </w:rPr>
        <w:t>.</w:t>
      </w:r>
    </w:p>
    <w:p w14:paraId="3DC4E5F3" w14:textId="77777777" w:rsidR="00A608A0" w:rsidRPr="00A608A0" w:rsidRDefault="00A608A0" w:rsidP="00A608A0">
      <w:pPr>
        <w:numPr>
          <w:ilvl w:val="0"/>
          <w:numId w:val="32"/>
        </w:num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608A0">
        <w:rPr>
          <w:rFonts w:ascii="Arial" w:hAnsi="Arial" w:cs="Arial"/>
          <w:bCs/>
          <w:sz w:val="24"/>
          <w:szCs w:val="24"/>
        </w:rPr>
        <w:t>Plan Nacional de Negocios Verdes (</w:t>
      </w:r>
      <w:proofErr w:type="spellStart"/>
      <w:r w:rsidRPr="00A608A0">
        <w:rPr>
          <w:rFonts w:ascii="Arial" w:hAnsi="Arial" w:cs="Arial"/>
          <w:bCs/>
          <w:sz w:val="24"/>
          <w:szCs w:val="24"/>
        </w:rPr>
        <w:t>PNNV</w:t>
      </w:r>
      <w:proofErr w:type="spellEnd"/>
      <w:r w:rsidRPr="00A608A0">
        <w:rPr>
          <w:rFonts w:ascii="Arial" w:hAnsi="Arial" w:cs="Arial"/>
          <w:bCs/>
          <w:sz w:val="24"/>
          <w:szCs w:val="24"/>
        </w:rPr>
        <w:t>).</w:t>
      </w:r>
    </w:p>
    <w:p w14:paraId="45B682C1" w14:textId="77777777" w:rsidR="00A608A0" w:rsidRPr="00A608A0" w:rsidRDefault="00A608A0" w:rsidP="00A608A0">
      <w:pPr>
        <w:numPr>
          <w:ilvl w:val="0"/>
          <w:numId w:val="32"/>
        </w:num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608A0">
        <w:rPr>
          <w:rFonts w:ascii="Arial" w:hAnsi="Arial" w:cs="Arial"/>
          <w:bCs/>
          <w:sz w:val="24"/>
          <w:szCs w:val="24"/>
        </w:rPr>
        <w:t>Documentos de la Oficina de Negocios Verdes y Sostenibles.</w:t>
      </w:r>
    </w:p>
    <w:p w14:paraId="1C39AA7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F5176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7C698B47" w14:textId="2912BF56" w:rsidR="00B53D0D" w:rsidRPr="00A608A0" w:rsidRDefault="00A608A0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CARLOS HUMBERTO ESCOBAR </w:t>
            </w:r>
          </w:p>
        </w:tc>
        <w:tc>
          <w:tcPr>
            <w:tcW w:w="1559" w:type="dxa"/>
          </w:tcPr>
          <w:p w14:paraId="78111428" w14:textId="75B7201D" w:rsidR="00B53D0D" w:rsidRPr="00F51763" w:rsidRDefault="00A608A0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</w:t>
            </w:r>
          </w:p>
        </w:tc>
        <w:tc>
          <w:tcPr>
            <w:tcW w:w="1701" w:type="dxa"/>
          </w:tcPr>
          <w:p w14:paraId="423F3BFD" w14:textId="0EE7F073" w:rsidR="00B53D0D" w:rsidRPr="00F51763" w:rsidRDefault="00A608A0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proofErr w:type="spellStart"/>
            <w:r>
              <w:rPr>
                <w:rFonts w:cs="Calibri"/>
                <w:b/>
              </w:rPr>
              <w:t>CEAI</w:t>
            </w:r>
            <w:proofErr w:type="spellEnd"/>
          </w:p>
        </w:tc>
        <w:tc>
          <w:tcPr>
            <w:tcW w:w="2551" w:type="dxa"/>
          </w:tcPr>
          <w:p w14:paraId="0EED43B0" w14:textId="3BDC63A8" w:rsidR="00B53D0D" w:rsidRPr="00F51763" w:rsidRDefault="00FD254E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20-8-2025</w:t>
            </w:r>
          </w:p>
        </w:tc>
      </w:tr>
      <w:tr w:rsidR="00FD254E" w:rsidRPr="00F51763" w14:paraId="0DF7D65B" w14:textId="77777777" w:rsidTr="009448E8">
        <w:trPr>
          <w:trHeight w:val="365"/>
        </w:trPr>
        <w:tc>
          <w:tcPr>
            <w:tcW w:w="1242" w:type="dxa"/>
          </w:tcPr>
          <w:p w14:paraId="62667AEE" w14:textId="77777777" w:rsidR="00FD254E" w:rsidRPr="00F51763" w:rsidRDefault="00FD254E" w:rsidP="00FD254E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694" w:type="dxa"/>
          </w:tcPr>
          <w:p w14:paraId="1086F1E0" w14:textId="2773CA18" w:rsidR="00FD254E" w:rsidRDefault="00FD254E" w:rsidP="00FD254E">
            <w:pPr>
              <w:spacing w:line="36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/>
              </w:rPr>
              <w:t>Germán Ocampo Duque</w:t>
            </w:r>
          </w:p>
        </w:tc>
        <w:tc>
          <w:tcPr>
            <w:tcW w:w="1559" w:type="dxa"/>
          </w:tcPr>
          <w:p w14:paraId="23F9EA0E" w14:textId="6669D093" w:rsidR="00FD254E" w:rsidRDefault="00CE69F3" w:rsidP="00FD254E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</w:t>
            </w:r>
          </w:p>
        </w:tc>
        <w:tc>
          <w:tcPr>
            <w:tcW w:w="1701" w:type="dxa"/>
          </w:tcPr>
          <w:p w14:paraId="4594E018" w14:textId="0C164F01" w:rsidR="00FD254E" w:rsidRDefault="00FD254E" w:rsidP="00FD254E">
            <w:pPr>
              <w:spacing w:line="360" w:lineRule="auto"/>
              <w:jc w:val="both"/>
              <w:rPr>
                <w:rFonts w:cs="Calibri"/>
                <w:b/>
              </w:rPr>
            </w:pPr>
            <w:proofErr w:type="spellStart"/>
            <w:r>
              <w:rPr>
                <w:rFonts w:cs="Calibri"/>
                <w:b/>
              </w:rPr>
              <w:t>CEAI</w:t>
            </w:r>
            <w:proofErr w:type="spellEnd"/>
            <w:r>
              <w:rPr>
                <w:rFonts w:cs="Calibri"/>
                <w:b/>
              </w:rPr>
              <w:t xml:space="preserve"> </w:t>
            </w:r>
          </w:p>
        </w:tc>
        <w:tc>
          <w:tcPr>
            <w:tcW w:w="2551" w:type="dxa"/>
          </w:tcPr>
          <w:p w14:paraId="7B65DDB8" w14:textId="0334DC28" w:rsidR="00FD254E" w:rsidRDefault="00FD254E" w:rsidP="00FD254E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24 </w:t>
            </w:r>
            <w:r w:rsidR="00CE69F3">
              <w:rPr>
                <w:rFonts w:cs="Calibri"/>
                <w:b/>
              </w:rPr>
              <w:t>-7-</w:t>
            </w:r>
            <w:r>
              <w:rPr>
                <w:rFonts w:cs="Calibri"/>
                <w:b/>
              </w:rPr>
              <w:t xml:space="preserve"> 2025</w:t>
            </w: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B53D0D" w:rsidRPr="00F51763" w14:paraId="7D3D6392" w14:textId="77777777" w:rsidTr="00F51763">
        <w:tc>
          <w:tcPr>
            <w:tcW w:w="1235" w:type="dxa"/>
          </w:tcPr>
          <w:p w14:paraId="225C3536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26572" w14:textId="77777777" w:rsidR="004F051C" w:rsidRDefault="004F051C">
      <w:pPr>
        <w:spacing w:after="0" w:line="240" w:lineRule="auto"/>
      </w:pPr>
      <w:r>
        <w:separator/>
      </w:r>
    </w:p>
  </w:endnote>
  <w:endnote w:type="continuationSeparator" w:id="0">
    <w:p w14:paraId="2A6849AB" w14:textId="77777777" w:rsidR="004F051C" w:rsidRDefault="004F051C">
      <w:pPr>
        <w:spacing w:after="0" w:line="240" w:lineRule="auto"/>
      </w:pPr>
      <w:r>
        <w:continuationSeparator/>
      </w:r>
    </w:p>
  </w:endnote>
  <w:endnote w:type="continuationNotice" w:id="1">
    <w:p w14:paraId="6E583B81" w14:textId="77777777" w:rsidR="004F051C" w:rsidRDefault="004F05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proofErr w:type="spellStart"/>
    <w:r>
      <w:t>GFPI</w:t>
    </w:r>
    <w:proofErr w:type="spellEnd"/>
    <w:r>
      <w:t>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2CE36" w14:textId="77777777" w:rsidR="004F051C" w:rsidRDefault="004F051C">
      <w:pPr>
        <w:spacing w:after="0" w:line="240" w:lineRule="auto"/>
      </w:pPr>
      <w:r>
        <w:separator/>
      </w:r>
    </w:p>
  </w:footnote>
  <w:footnote w:type="continuationSeparator" w:id="0">
    <w:p w14:paraId="278726BB" w14:textId="77777777" w:rsidR="004F051C" w:rsidRDefault="004F051C">
      <w:pPr>
        <w:spacing w:after="0" w:line="240" w:lineRule="auto"/>
      </w:pPr>
      <w:r>
        <w:continuationSeparator/>
      </w:r>
    </w:p>
  </w:footnote>
  <w:footnote w:type="continuationNotice" w:id="1">
    <w:p w14:paraId="3020C674" w14:textId="77777777" w:rsidR="004F051C" w:rsidRDefault="004F05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3F244A"/>
    <w:multiLevelType w:val="multilevel"/>
    <w:tmpl w:val="E7F2E0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0" w15:restartNumberingAfterBreak="0">
    <w:nsid w:val="638A7BEE"/>
    <w:multiLevelType w:val="multilevel"/>
    <w:tmpl w:val="3BD85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9366500">
    <w:abstractNumId w:val="26"/>
  </w:num>
  <w:num w:numId="2" w16cid:durableId="505485544">
    <w:abstractNumId w:val="27"/>
  </w:num>
  <w:num w:numId="3" w16cid:durableId="843277053">
    <w:abstractNumId w:val="24"/>
  </w:num>
  <w:num w:numId="4" w16cid:durableId="11330596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16"/>
  </w:num>
  <w:num w:numId="7" w16cid:durableId="211036800">
    <w:abstractNumId w:val="17"/>
  </w:num>
  <w:num w:numId="8" w16cid:durableId="2107997317">
    <w:abstractNumId w:val="2"/>
  </w:num>
  <w:num w:numId="9" w16cid:durableId="1580671781">
    <w:abstractNumId w:val="10"/>
  </w:num>
  <w:num w:numId="10" w16cid:durableId="1809400761">
    <w:abstractNumId w:val="25"/>
  </w:num>
  <w:num w:numId="11" w16cid:durableId="559172815">
    <w:abstractNumId w:val="6"/>
  </w:num>
  <w:num w:numId="12" w16cid:durableId="1328047260">
    <w:abstractNumId w:val="5"/>
  </w:num>
  <w:num w:numId="13" w16cid:durableId="886380371">
    <w:abstractNumId w:val="14"/>
  </w:num>
  <w:num w:numId="14" w16cid:durableId="1992901261">
    <w:abstractNumId w:val="15"/>
  </w:num>
  <w:num w:numId="15" w16cid:durableId="391276193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8702565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60339375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67189401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792678800">
    <w:abstractNumId w:val="8"/>
  </w:num>
  <w:num w:numId="20" w16cid:durableId="1867912511">
    <w:abstractNumId w:val="19"/>
  </w:num>
  <w:num w:numId="21" w16cid:durableId="1340742040">
    <w:abstractNumId w:val="13"/>
  </w:num>
  <w:num w:numId="22" w16cid:durableId="1593708866">
    <w:abstractNumId w:val="12"/>
  </w:num>
  <w:num w:numId="23" w16cid:durableId="1926918412">
    <w:abstractNumId w:val="11"/>
  </w:num>
  <w:num w:numId="24" w16cid:durableId="48457321">
    <w:abstractNumId w:val="23"/>
  </w:num>
  <w:num w:numId="25" w16cid:durableId="548346651">
    <w:abstractNumId w:val="7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3"/>
  </w:num>
  <w:num w:numId="29" w16cid:durableId="1653555971">
    <w:abstractNumId w:val="18"/>
  </w:num>
  <w:num w:numId="30" w16cid:durableId="1460802051">
    <w:abstractNumId w:val="4"/>
  </w:num>
  <w:num w:numId="31" w16cid:durableId="1374116647">
    <w:abstractNumId w:val="9"/>
  </w:num>
  <w:num w:numId="32" w16cid:durableId="1888224957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10D95"/>
    <w:rsid w:val="00012430"/>
    <w:rsid w:val="00033399"/>
    <w:rsid w:val="000723CC"/>
    <w:rsid w:val="000935DA"/>
    <w:rsid w:val="000A648F"/>
    <w:rsid w:val="000C285C"/>
    <w:rsid w:val="000E2DD1"/>
    <w:rsid w:val="000E3051"/>
    <w:rsid w:val="000F2166"/>
    <w:rsid w:val="00117BFB"/>
    <w:rsid w:val="00172F63"/>
    <w:rsid w:val="00174851"/>
    <w:rsid w:val="001A50DF"/>
    <w:rsid w:val="001C508E"/>
    <w:rsid w:val="001D16CF"/>
    <w:rsid w:val="001D75C8"/>
    <w:rsid w:val="00211665"/>
    <w:rsid w:val="00233A9B"/>
    <w:rsid w:val="00241A3D"/>
    <w:rsid w:val="00242756"/>
    <w:rsid w:val="00282CE4"/>
    <w:rsid w:val="002D12AD"/>
    <w:rsid w:val="002E0F5A"/>
    <w:rsid w:val="003163ED"/>
    <w:rsid w:val="003232D5"/>
    <w:rsid w:val="00356A68"/>
    <w:rsid w:val="003605B2"/>
    <w:rsid w:val="00362DE7"/>
    <w:rsid w:val="003630EC"/>
    <w:rsid w:val="0038578C"/>
    <w:rsid w:val="00387C66"/>
    <w:rsid w:val="00395869"/>
    <w:rsid w:val="003A64C4"/>
    <w:rsid w:val="003B2FA3"/>
    <w:rsid w:val="003B493D"/>
    <w:rsid w:val="003E2299"/>
    <w:rsid w:val="00400D09"/>
    <w:rsid w:val="00417AA3"/>
    <w:rsid w:val="00424075"/>
    <w:rsid w:val="004360C9"/>
    <w:rsid w:val="00444A2D"/>
    <w:rsid w:val="00451A05"/>
    <w:rsid w:val="004673B2"/>
    <w:rsid w:val="004E48D2"/>
    <w:rsid w:val="004F051C"/>
    <w:rsid w:val="00502891"/>
    <w:rsid w:val="00504738"/>
    <w:rsid w:val="00521B64"/>
    <w:rsid w:val="005242C6"/>
    <w:rsid w:val="00537159"/>
    <w:rsid w:val="00553E9D"/>
    <w:rsid w:val="0059094F"/>
    <w:rsid w:val="005931AF"/>
    <w:rsid w:val="005D3455"/>
    <w:rsid w:val="005D762E"/>
    <w:rsid w:val="005E2F69"/>
    <w:rsid w:val="005E716B"/>
    <w:rsid w:val="00604A19"/>
    <w:rsid w:val="006319EC"/>
    <w:rsid w:val="00646F55"/>
    <w:rsid w:val="006866E9"/>
    <w:rsid w:val="006A0BF0"/>
    <w:rsid w:val="006D69CC"/>
    <w:rsid w:val="00702E2E"/>
    <w:rsid w:val="00743A27"/>
    <w:rsid w:val="007553B0"/>
    <w:rsid w:val="00761526"/>
    <w:rsid w:val="00763DBE"/>
    <w:rsid w:val="007659AA"/>
    <w:rsid w:val="00774703"/>
    <w:rsid w:val="007B741D"/>
    <w:rsid w:val="007C1DAF"/>
    <w:rsid w:val="007C3AB2"/>
    <w:rsid w:val="007D4273"/>
    <w:rsid w:val="00815D58"/>
    <w:rsid w:val="00834292"/>
    <w:rsid w:val="00845E20"/>
    <w:rsid w:val="00870CEE"/>
    <w:rsid w:val="00880A59"/>
    <w:rsid w:val="00886060"/>
    <w:rsid w:val="00895B08"/>
    <w:rsid w:val="008C6364"/>
    <w:rsid w:val="008D48E0"/>
    <w:rsid w:val="008D7773"/>
    <w:rsid w:val="008F5A23"/>
    <w:rsid w:val="009015A5"/>
    <w:rsid w:val="0092729E"/>
    <w:rsid w:val="009448E8"/>
    <w:rsid w:val="0095535B"/>
    <w:rsid w:val="009B6B97"/>
    <w:rsid w:val="009D3278"/>
    <w:rsid w:val="00A30720"/>
    <w:rsid w:val="00A608A0"/>
    <w:rsid w:val="00A63563"/>
    <w:rsid w:val="00A92164"/>
    <w:rsid w:val="00A93D42"/>
    <w:rsid w:val="00AB38B7"/>
    <w:rsid w:val="00AC591E"/>
    <w:rsid w:val="00AE2265"/>
    <w:rsid w:val="00AF79AC"/>
    <w:rsid w:val="00B03D78"/>
    <w:rsid w:val="00B15E97"/>
    <w:rsid w:val="00B2170F"/>
    <w:rsid w:val="00B30748"/>
    <w:rsid w:val="00B334B2"/>
    <w:rsid w:val="00B37BFF"/>
    <w:rsid w:val="00B457AB"/>
    <w:rsid w:val="00B53D0D"/>
    <w:rsid w:val="00B67A68"/>
    <w:rsid w:val="00BA3E8C"/>
    <w:rsid w:val="00BA649D"/>
    <w:rsid w:val="00BB464D"/>
    <w:rsid w:val="00BC14B6"/>
    <w:rsid w:val="00BD5094"/>
    <w:rsid w:val="00C01564"/>
    <w:rsid w:val="00C40C7E"/>
    <w:rsid w:val="00C6234C"/>
    <w:rsid w:val="00CA46F1"/>
    <w:rsid w:val="00CA629F"/>
    <w:rsid w:val="00CA7209"/>
    <w:rsid w:val="00CC084F"/>
    <w:rsid w:val="00CC09B2"/>
    <w:rsid w:val="00CD3FD9"/>
    <w:rsid w:val="00CE69A9"/>
    <w:rsid w:val="00CE69F3"/>
    <w:rsid w:val="00CF66F5"/>
    <w:rsid w:val="00D11770"/>
    <w:rsid w:val="00D277E1"/>
    <w:rsid w:val="00D4473F"/>
    <w:rsid w:val="00D7008C"/>
    <w:rsid w:val="00D83FDF"/>
    <w:rsid w:val="00D85CF8"/>
    <w:rsid w:val="00DC52B5"/>
    <w:rsid w:val="00DD7DE9"/>
    <w:rsid w:val="00E34F6F"/>
    <w:rsid w:val="00E413A0"/>
    <w:rsid w:val="00E5319B"/>
    <w:rsid w:val="00E54187"/>
    <w:rsid w:val="00E84005"/>
    <w:rsid w:val="00E85743"/>
    <w:rsid w:val="00E85AFD"/>
    <w:rsid w:val="00E93E09"/>
    <w:rsid w:val="00EB21B5"/>
    <w:rsid w:val="00EB5C81"/>
    <w:rsid w:val="00EB67A9"/>
    <w:rsid w:val="00EE736D"/>
    <w:rsid w:val="00F2679D"/>
    <w:rsid w:val="00F325FD"/>
    <w:rsid w:val="00F439FE"/>
    <w:rsid w:val="00F51763"/>
    <w:rsid w:val="00F532AF"/>
    <w:rsid w:val="00F67240"/>
    <w:rsid w:val="00F87D8E"/>
    <w:rsid w:val="00F97D5C"/>
    <w:rsid w:val="00FB155A"/>
    <w:rsid w:val="00FB5843"/>
    <w:rsid w:val="00FD254E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Fuerte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949</TotalTime>
  <Pages>7</Pages>
  <Words>2219</Words>
  <Characters>12209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Carlos Humberto Escobar Paredes</cp:lastModifiedBy>
  <cp:revision>128</cp:revision>
  <cp:lastPrinted>2016-06-08T13:42:00Z</cp:lastPrinted>
  <dcterms:created xsi:type="dcterms:W3CDTF">2023-05-11T21:49:00Z</dcterms:created>
  <dcterms:modified xsi:type="dcterms:W3CDTF">2026-05-18T03:09:00Z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516245d8-e5f4-42ac-a19d-923c969a5d0b_Enabled">
    <vt:lpwstr>true</vt:lpwstr>
  </property>
  <property fmtid="{D5CDD505-2E9C-101B-9397-08002B2CF9AE}" pid="6" name="MSIP_Label_516245d8-e5f4-42ac-a19d-923c969a5d0b_SetDate">
    <vt:lpwstr>2026-05-18T03:08:26Z</vt:lpwstr>
  </property>
  <property fmtid="{D5CDD505-2E9C-101B-9397-08002B2CF9AE}" pid="7" name="MSIP_Label_516245d8-e5f4-42ac-a19d-923c969a5d0b_Method">
    <vt:lpwstr>Privileged</vt:lpwstr>
  </property>
  <property fmtid="{D5CDD505-2E9C-101B-9397-08002B2CF9AE}" pid="8" name="MSIP_Label_516245d8-e5f4-42ac-a19d-923c969a5d0b_Name">
    <vt:lpwstr>Confidential</vt:lpwstr>
  </property>
  <property fmtid="{D5CDD505-2E9C-101B-9397-08002B2CF9AE}" pid="9" name="MSIP_Label_516245d8-e5f4-42ac-a19d-923c969a5d0b_SiteId">
    <vt:lpwstr>cbc2c381-2f2e-4d93-91d1-506c9316ace7</vt:lpwstr>
  </property>
  <property fmtid="{D5CDD505-2E9C-101B-9397-08002B2CF9AE}" pid="10" name="MSIP_Label_516245d8-e5f4-42ac-a19d-923c969a5d0b_ActionId">
    <vt:lpwstr>bae0b734-cb69-4c0f-b7ef-fe41f96e0fe6</vt:lpwstr>
  </property>
  <property fmtid="{D5CDD505-2E9C-101B-9397-08002B2CF9AE}" pid="11" name="MSIP_Label_516245d8-e5f4-42ac-a19d-923c969a5d0b_ContentBits">
    <vt:lpwstr>0</vt:lpwstr>
  </property>
  <property fmtid="{D5CDD505-2E9C-101B-9397-08002B2CF9AE}" pid="12" name="MSIP_Label_516245d8-e5f4-42ac-a19d-923c969a5d0b_Tag">
    <vt:lpwstr>10, 0, 1, 1</vt:lpwstr>
  </property>
</Properties>
</file>